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FF" w:rsidRDefault="00B574FF" w:rsidP="00B574FF">
      <w:pPr>
        <w:spacing w:line="540" w:lineRule="exact"/>
        <w:ind w:right="1120"/>
        <w:rPr>
          <w:sz w:val="28"/>
          <w:szCs w:val="28"/>
        </w:rPr>
      </w:pPr>
    </w:p>
    <w:p w:rsidR="00B574FF" w:rsidRDefault="009640FC" w:rsidP="00B574FF">
      <w:pPr>
        <w:jc w:val="center"/>
        <w:rPr>
          <w:rFonts w:ascii="仿宋_GB2312" w:eastAsia="仿宋_GB2312"/>
          <w:b/>
          <w:sz w:val="48"/>
          <w:szCs w:val="48"/>
        </w:rPr>
      </w:pPr>
      <w:r>
        <w:rPr>
          <w:rFonts w:ascii="仿宋_GB2312" w:eastAsia="仿宋_GB2312"/>
          <w:b/>
          <w:noProof/>
          <w:sz w:val="48"/>
          <w:szCs w:val="48"/>
        </w:rPr>
        <w:drawing>
          <wp:inline distT="0" distB="0" distL="0" distR="0">
            <wp:extent cx="5276850" cy="1076325"/>
            <wp:effectExtent l="19050" t="0" r="0" b="0"/>
            <wp:docPr id="1" name="图片 2"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logo2.jpg"/>
                    <pic:cNvPicPr>
                      <a:picLocks noChangeAspect="1" noChangeArrowheads="1"/>
                    </pic:cNvPicPr>
                  </pic:nvPicPr>
                  <pic:blipFill>
                    <a:blip r:embed="rId8" cstate="print"/>
                    <a:srcRect/>
                    <a:stretch>
                      <a:fillRect/>
                    </a:stretch>
                  </pic:blipFill>
                  <pic:spPr bwMode="auto">
                    <a:xfrm>
                      <a:off x="0" y="0"/>
                      <a:ext cx="5276850" cy="1076325"/>
                    </a:xfrm>
                    <a:prstGeom prst="rect">
                      <a:avLst/>
                    </a:prstGeom>
                    <a:noFill/>
                    <a:ln w="9525">
                      <a:noFill/>
                      <a:miter lim="800000"/>
                      <a:headEnd/>
                      <a:tailEnd/>
                    </a:ln>
                  </pic:spPr>
                </pic:pic>
              </a:graphicData>
            </a:graphic>
          </wp:inline>
        </w:drawing>
      </w:r>
    </w:p>
    <w:p w:rsidR="00B574FF" w:rsidRDefault="00B574FF" w:rsidP="00B574FF">
      <w:pPr>
        <w:jc w:val="center"/>
        <w:rPr>
          <w:rFonts w:ascii="仿宋_GB2312" w:eastAsia="仿宋_GB2312"/>
          <w:b/>
          <w:sz w:val="48"/>
          <w:szCs w:val="48"/>
        </w:rPr>
      </w:pPr>
    </w:p>
    <w:p w:rsidR="00B574FF" w:rsidRDefault="00B574FF" w:rsidP="00B574FF">
      <w:pPr>
        <w:jc w:val="center"/>
        <w:rPr>
          <w:rFonts w:ascii="仿宋_GB2312" w:eastAsia="仿宋_GB2312"/>
          <w:b/>
          <w:sz w:val="48"/>
          <w:szCs w:val="48"/>
        </w:rPr>
      </w:pPr>
    </w:p>
    <w:p w:rsidR="00B574FF" w:rsidRPr="00F82C6A" w:rsidRDefault="00B574FF" w:rsidP="009640FC">
      <w:pPr>
        <w:ind w:firstLineChars="400" w:firstLine="3373"/>
        <w:rPr>
          <w:rFonts w:ascii="黑体" w:eastAsia="黑体"/>
          <w:sz w:val="72"/>
          <w:szCs w:val="72"/>
        </w:rPr>
      </w:pPr>
      <w:r>
        <w:rPr>
          <w:rFonts w:ascii="仿宋_GB2312" w:eastAsia="仿宋_GB2312" w:hint="eastAsia"/>
          <w:b/>
          <w:sz w:val="84"/>
          <w:szCs w:val="84"/>
        </w:rPr>
        <w:t>教学设计</w:t>
      </w:r>
    </w:p>
    <w:tbl>
      <w:tblPr>
        <w:tblW w:w="0" w:type="auto"/>
        <w:jc w:val="center"/>
        <w:tblLook w:val="0000" w:firstRow="0" w:lastRow="0" w:firstColumn="0" w:lastColumn="0" w:noHBand="0" w:noVBand="0"/>
      </w:tblPr>
      <w:tblGrid>
        <w:gridCol w:w="2066"/>
        <w:gridCol w:w="5021"/>
      </w:tblGrid>
      <w:tr w:rsidR="00B574FF" w:rsidRPr="003A610A" w:rsidTr="00C90690">
        <w:trPr>
          <w:trHeight w:val="745"/>
          <w:jc w:val="center"/>
        </w:trPr>
        <w:tc>
          <w:tcPr>
            <w:tcW w:w="2066" w:type="dxa"/>
            <w:vAlign w:val="bottom"/>
          </w:tcPr>
          <w:p w:rsidR="00AB2EAC" w:rsidRDefault="00AB2EAC" w:rsidP="00C90690">
            <w:pPr>
              <w:spacing w:line="640" w:lineRule="exact"/>
              <w:jc w:val="distribute"/>
              <w:rPr>
                <w:rFonts w:ascii="黑体" w:eastAsia="黑体"/>
                <w:b/>
                <w:bCs/>
                <w:sz w:val="30"/>
              </w:rPr>
            </w:pPr>
          </w:p>
          <w:p w:rsidR="00B574FF" w:rsidRPr="003A610A" w:rsidRDefault="00B574FF" w:rsidP="00C90690">
            <w:pPr>
              <w:spacing w:line="640" w:lineRule="exact"/>
              <w:jc w:val="distribute"/>
              <w:rPr>
                <w:rFonts w:ascii="黑体" w:eastAsia="黑体"/>
                <w:b/>
                <w:bCs/>
                <w:sz w:val="30"/>
              </w:rPr>
            </w:pPr>
            <w:r>
              <w:rPr>
                <w:rFonts w:ascii="黑体" w:eastAsia="黑体" w:hint="eastAsia"/>
                <w:b/>
                <w:bCs/>
                <w:sz w:val="30"/>
              </w:rPr>
              <w:t>所属学科</w:t>
            </w:r>
          </w:p>
        </w:tc>
        <w:tc>
          <w:tcPr>
            <w:tcW w:w="5021" w:type="dxa"/>
            <w:tcBorders>
              <w:bottom w:val="single" w:sz="12" w:space="0" w:color="auto"/>
            </w:tcBorders>
          </w:tcPr>
          <w:p w:rsidR="00AB2EAC" w:rsidRDefault="00AB2EAC" w:rsidP="00C90690">
            <w:pPr>
              <w:spacing w:line="640" w:lineRule="exact"/>
              <w:jc w:val="center"/>
              <w:rPr>
                <w:sz w:val="30"/>
              </w:rPr>
            </w:pPr>
          </w:p>
          <w:p w:rsidR="00B574FF" w:rsidRPr="00D600F6" w:rsidRDefault="00B574FF" w:rsidP="00C90690">
            <w:pPr>
              <w:spacing w:line="640" w:lineRule="exact"/>
              <w:jc w:val="center"/>
              <w:rPr>
                <w:sz w:val="30"/>
              </w:rPr>
            </w:pPr>
            <w:r>
              <w:rPr>
                <w:rFonts w:hint="eastAsia"/>
                <w:sz w:val="30"/>
              </w:rPr>
              <w:t>管理学</w:t>
            </w:r>
          </w:p>
        </w:tc>
      </w:tr>
      <w:tr w:rsidR="00B574FF" w:rsidRPr="003A610A" w:rsidTr="00C90690">
        <w:trPr>
          <w:trHeight w:val="762"/>
          <w:jc w:val="center"/>
        </w:trPr>
        <w:tc>
          <w:tcPr>
            <w:tcW w:w="2066" w:type="dxa"/>
            <w:vAlign w:val="bottom"/>
          </w:tcPr>
          <w:p w:rsidR="00B574FF" w:rsidRPr="003A610A" w:rsidRDefault="00B574FF" w:rsidP="00C90690">
            <w:pPr>
              <w:spacing w:line="640" w:lineRule="exact"/>
              <w:jc w:val="distribute"/>
              <w:rPr>
                <w:rFonts w:ascii="黑体" w:eastAsia="黑体"/>
                <w:b/>
                <w:bCs/>
                <w:sz w:val="30"/>
              </w:rPr>
            </w:pPr>
            <w:r>
              <w:rPr>
                <w:rFonts w:ascii="黑体" w:eastAsia="黑体" w:hint="eastAsia"/>
                <w:b/>
                <w:bCs/>
                <w:sz w:val="30"/>
              </w:rPr>
              <w:t>所属专业</w:t>
            </w:r>
          </w:p>
        </w:tc>
        <w:tc>
          <w:tcPr>
            <w:tcW w:w="5021" w:type="dxa"/>
            <w:tcBorders>
              <w:top w:val="single" w:sz="12" w:space="0" w:color="auto"/>
              <w:bottom w:val="single" w:sz="12" w:space="0" w:color="auto"/>
            </w:tcBorders>
          </w:tcPr>
          <w:p w:rsidR="00B574FF" w:rsidRPr="00D600F6" w:rsidRDefault="00B574FF" w:rsidP="00C90690">
            <w:pPr>
              <w:spacing w:line="640" w:lineRule="exact"/>
              <w:jc w:val="center"/>
              <w:rPr>
                <w:sz w:val="30"/>
              </w:rPr>
            </w:pPr>
            <w:r>
              <w:rPr>
                <w:rFonts w:hint="eastAsia"/>
                <w:sz w:val="30"/>
              </w:rPr>
              <w:t>会计类专业</w:t>
            </w:r>
          </w:p>
        </w:tc>
      </w:tr>
      <w:tr w:rsidR="00B574FF" w:rsidRPr="003A610A" w:rsidTr="00C90690">
        <w:trPr>
          <w:trHeight w:val="762"/>
          <w:jc w:val="center"/>
        </w:trPr>
        <w:tc>
          <w:tcPr>
            <w:tcW w:w="2066" w:type="dxa"/>
            <w:vAlign w:val="bottom"/>
          </w:tcPr>
          <w:p w:rsidR="00B574FF" w:rsidRPr="003A610A" w:rsidRDefault="00B574FF" w:rsidP="00C90690">
            <w:pPr>
              <w:spacing w:line="640" w:lineRule="exact"/>
              <w:jc w:val="distribute"/>
              <w:rPr>
                <w:rFonts w:ascii="黑体" w:eastAsia="黑体"/>
                <w:b/>
                <w:bCs/>
                <w:sz w:val="30"/>
              </w:rPr>
            </w:pPr>
            <w:r>
              <w:rPr>
                <w:rFonts w:ascii="黑体" w:eastAsia="黑体" w:hint="eastAsia"/>
                <w:b/>
                <w:bCs/>
                <w:sz w:val="30"/>
              </w:rPr>
              <w:t>所属课程</w:t>
            </w:r>
          </w:p>
        </w:tc>
        <w:tc>
          <w:tcPr>
            <w:tcW w:w="5021" w:type="dxa"/>
            <w:tcBorders>
              <w:top w:val="single" w:sz="12" w:space="0" w:color="auto"/>
              <w:bottom w:val="single" w:sz="12" w:space="0" w:color="auto"/>
            </w:tcBorders>
          </w:tcPr>
          <w:p w:rsidR="00B574FF" w:rsidRPr="00D600F6" w:rsidRDefault="00C9075B" w:rsidP="00C90690">
            <w:pPr>
              <w:spacing w:line="640" w:lineRule="exact"/>
              <w:jc w:val="center"/>
              <w:rPr>
                <w:sz w:val="30"/>
              </w:rPr>
            </w:pPr>
            <w:r>
              <w:rPr>
                <w:rFonts w:hint="eastAsia"/>
                <w:sz w:val="30"/>
              </w:rPr>
              <w:t>财务</w:t>
            </w:r>
            <w:r w:rsidR="00B574FF">
              <w:rPr>
                <w:rFonts w:hint="eastAsia"/>
                <w:sz w:val="30"/>
              </w:rPr>
              <w:t>会计</w:t>
            </w:r>
          </w:p>
        </w:tc>
      </w:tr>
      <w:tr w:rsidR="00B574FF" w:rsidRPr="003A610A" w:rsidTr="00C90690">
        <w:trPr>
          <w:trHeight w:val="762"/>
          <w:jc w:val="center"/>
        </w:trPr>
        <w:tc>
          <w:tcPr>
            <w:tcW w:w="2066" w:type="dxa"/>
            <w:vAlign w:val="bottom"/>
          </w:tcPr>
          <w:p w:rsidR="00B574FF" w:rsidRPr="003A610A" w:rsidRDefault="00B574FF" w:rsidP="00C90690">
            <w:pPr>
              <w:spacing w:line="640" w:lineRule="exact"/>
              <w:jc w:val="distribute"/>
              <w:rPr>
                <w:rFonts w:ascii="黑体" w:eastAsia="黑体"/>
                <w:b/>
                <w:bCs/>
                <w:sz w:val="30"/>
              </w:rPr>
            </w:pPr>
            <w:r>
              <w:rPr>
                <w:rFonts w:ascii="黑体" w:eastAsia="黑体" w:hint="eastAsia"/>
                <w:b/>
                <w:bCs/>
                <w:sz w:val="30"/>
              </w:rPr>
              <w:t>适用对象</w:t>
            </w:r>
          </w:p>
        </w:tc>
        <w:tc>
          <w:tcPr>
            <w:tcW w:w="5021" w:type="dxa"/>
            <w:tcBorders>
              <w:top w:val="single" w:sz="12" w:space="0" w:color="auto"/>
              <w:bottom w:val="single" w:sz="12" w:space="0" w:color="auto"/>
            </w:tcBorders>
          </w:tcPr>
          <w:p w:rsidR="00B574FF" w:rsidRPr="00D600F6" w:rsidRDefault="00B574FF" w:rsidP="00C90690">
            <w:pPr>
              <w:spacing w:line="640" w:lineRule="exact"/>
              <w:jc w:val="center"/>
              <w:rPr>
                <w:sz w:val="30"/>
              </w:rPr>
            </w:pPr>
            <w:r>
              <w:rPr>
                <w:rFonts w:hint="eastAsia"/>
                <w:sz w:val="30"/>
              </w:rPr>
              <w:t>高职学生</w:t>
            </w:r>
          </w:p>
        </w:tc>
      </w:tr>
      <w:tr w:rsidR="00B574FF" w:rsidRPr="003A610A" w:rsidTr="00C90690">
        <w:trPr>
          <w:trHeight w:val="762"/>
          <w:jc w:val="center"/>
        </w:trPr>
        <w:tc>
          <w:tcPr>
            <w:tcW w:w="2066" w:type="dxa"/>
            <w:vAlign w:val="bottom"/>
          </w:tcPr>
          <w:p w:rsidR="00B574FF" w:rsidRPr="003A610A" w:rsidRDefault="00B574FF" w:rsidP="00C90690">
            <w:pPr>
              <w:spacing w:line="640" w:lineRule="exact"/>
              <w:jc w:val="distribute"/>
              <w:rPr>
                <w:rFonts w:ascii="黑体" w:eastAsia="黑体"/>
                <w:b/>
                <w:bCs/>
                <w:sz w:val="30"/>
              </w:rPr>
            </w:pPr>
            <w:r w:rsidRPr="003A610A">
              <w:rPr>
                <w:rFonts w:ascii="黑体" w:eastAsia="黑体" w:hint="eastAsia"/>
                <w:b/>
                <w:bCs/>
                <w:sz w:val="30"/>
              </w:rPr>
              <w:t>授 课 教 师</w:t>
            </w:r>
          </w:p>
        </w:tc>
        <w:tc>
          <w:tcPr>
            <w:tcW w:w="5021" w:type="dxa"/>
            <w:tcBorders>
              <w:top w:val="single" w:sz="12" w:space="0" w:color="auto"/>
              <w:bottom w:val="single" w:sz="12" w:space="0" w:color="auto"/>
            </w:tcBorders>
          </w:tcPr>
          <w:p w:rsidR="00B574FF" w:rsidRPr="00D600F6" w:rsidRDefault="00B574FF" w:rsidP="00C90690">
            <w:pPr>
              <w:spacing w:line="640" w:lineRule="exact"/>
              <w:jc w:val="center"/>
              <w:rPr>
                <w:sz w:val="30"/>
              </w:rPr>
            </w:pPr>
            <w:r>
              <w:rPr>
                <w:rFonts w:hint="eastAsia"/>
                <w:sz w:val="30"/>
              </w:rPr>
              <w:t>廖敏</w:t>
            </w:r>
          </w:p>
        </w:tc>
      </w:tr>
    </w:tbl>
    <w:p w:rsidR="00B574FF" w:rsidRDefault="00B574FF" w:rsidP="00B574FF"/>
    <w:p w:rsidR="00B574FF" w:rsidRDefault="00B574FF" w:rsidP="00B574FF"/>
    <w:p w:rsidR="00B574FF" w:rsidRDefault="00B574FF" w:rsidP="00B574FF"/>
    <w:p w:rsidR="00B574FF" w:rsidRDefault="00B574FF" w:rsidP="00687DA2">
      <w:pPr>
        <w:spacing w:afterLines="100" w:after="360"/>
        <w:jc w:val="center"/>
        <w:rPr>
          <w:rFonts w:eastAsia="黑体"/>
          <w:b/>
          <w:bCs/>
          <w:sz w:val="36"/>
        </w:rPr>
      </w:pPr>
    </w:p>
    <w:p w:rsidR="005E425C" w:rsidRDefault="005E425C" w:rsidP="00687DA2">
      <w:pPr>
        <w:spacing w:afterLines="100" w:after="360"/>
        <w:jc w:val="center"/>
        <w:rPr>
          <w:rFonts w:eastAsia="黑体"/>
          <w:b/>
          <w:bCs/>
          <w:sz w:val="36"/>
        </w:rPr>
      </w:pPr>
    </w:p>
    <w:p w:rsidR="00AB2EAC" w:rsidRDefault="00AB2EAC" w:rsidP="00687DA2">
      <w:pPr>
        <w:spacing w:afterLines="100" w:after="360"/>
        <w:jc w:val="center"/>
        <w:rPr>
          <w:rFonts w:eastAsia="黑体"/>
          <w:b/>
          <w:bCs/>
          <w:sz w:val="36"/>
        </w:rPr>
      </w:pPr>
    </w:p>
    <w:p w:rsidR="00377747" w:rsidRPr="00377747" w:rsidRDefault="00377747" w:rsidP="00377747">
      <w:pPr>
        <w:widowControl/>
        <w:spacing w:line="400" w:lineRule="exact"/>
        <w:jc w:val="center"/>
        <w:rPr>
          <w:rFonts w:eastAsia="仿宋_GB2312" w:hint="eastAsia"/>
          <w:b/>
          <w:snapToGrid w:val="0"/>
          <w:kern w:val="0"/>
          <w:sz w:val="32"/>
          <w:szCs w:val="32"/>
        </w:rPr>
      </w:pPr>
      <w:r w:rsidRPr="00377747">
        <w:rPr>
          <w:rFonts w:eastAsia="仿宋_GB2312" w:hint="eastAsia"/>
          <w:b/>
          <w:snapToGrid w:val="0"/>
          <w:kern w:val="0"/>
          <w:sz w:val="32"/>
          <w:szCs w:val="32"/>
        </w:rPr>
        <w:lastRenderedPageBreak/>
        <w:t>固定资产后续支出原则教学设计</w:t>
      </w:r>
    </w:p>
    <w:p w:rsidR="00377747" w:rsidRDefault="00377747" w:rsidP="00377747">
      <w:pPr>
        <w:widowControl/>
        <w:spacing w:line="200" w:lineRule="exact"/>
        <w:rPr>
          <w:rFonts w:eastAsia="仿宋_GB2312" w:hint="eastAsia"/>
          <w:snapToGrid w:val="0"/>
          <w:kern w:val="0"/>
          <w:sz w:val="24"/>
        </w:rPr>
      </w:pPr>
    </w:p>
    <w:p w:rsidR="003D33F8" w:rsidRPr="006D5950" w:rsidRDefault="003D33F8" w:rsidP="003D33F8">
      <w:pPr>
        <w:widowControl/>
        <w:spacing w:line="400" w:lineRule="exact"/>
        <w:rPr>
          <w:rFonts w:ascii="宋体" w:hAnsi="宋体"/>
          <w:szCs w:val="21"/>
        </w:rPr>
      </w:pPr>
      <w:r w:rsidRPr="006D5950">
        <w:rPr>
          <w:rFonts w:eastAsia="仿宋_GB2312" w:hint="eastAsia"/>
          <w:snapToGrid w:val="0"/>
          <w:kern w:val="0"/>
          <w:sz w:val="24"/>
        </w:rPr>
        <w:t>一、教学背景</w:t>
      </w:r>
    </w:p>
    <w:p w:rsidR="003D33F8" w:rsidRPr="006D5950" w:rsidRDefault="003D33F8" w:rsidP="00377747">
      <w:pPr>
        <w:widowControl/>
        <w:spacing w:line="400" w:lineRule="exact"/>
        <w:ind w:firstLineChars="100" w:firstLine="240"/>
        <w:rPr>
          <w:rFonts w:eastAsia="仿宋_GB2312"/>
          <w:snapToGrid w:val="0"/>
          <w:kern w:val="0"/>
          <w:sz w:val="24"/>
        </w:rPr>
      </w:pPr>
      <w:r w:rsidRPr="006D5950">
        <w:rPr>
          <w:rFonts w:eastAsia="仿宋_GB2312" w:hint="eastAsia"/>
          <w:snapToGrid w:val="0"/>
          <w:kern w:val="0"/>
          <w:sz w:val="24"/>
        </w:rPr>
        <w:t>（一）作品设计思想</w:t>
      </w:r>
    </w:p>
    <w:p w:rsidR="003D33F8" w:rsidRPr="006D5950" w:rsidRDefault="003D33F8" w:rsidP="003D33F8">
      <w:pPr>
        <w:pStyle w:val="a5"/>
        <w:widowControl/>
        <w:spacing w:line="400" w:lineRule="exact"/>
        <w:ind w:leftChars="-104" w:left="-218" w:firstLine="480"/>
        <w:rPr>
          <w:rFonts w:eastAsia="仿宋_GB2312"/>
          <w:snapToGrid w:val="0"/>
          <w:kern w:val="0"/>
          <w:sz w:val="24"/>
        </w:rPr>
      </w:pPr>
      <w:r w:rsidRPr="006D5950">
        <w:rPr>
          <w:rFonts w:eastAsia="仿宋_GB2312" w:hint="eastAsia"/>
          <w:snapToGrid w:val="0"/>
          <w:kern w:val="0"/>
          <w:sz w:val="24"/>
        </w:rPr>
        <w:t>本作品选取了《财务会计》课程中固定资产章节《固定资产后续支出的原则》作为课程的教学内容。通过案例分析讲解和情景引入向学生介绍了固定资产后续支出的定义和内容，让同学们明白固定资产更新改造和修理的含义和区别，并且明确在固定资产后续支出中，更新改造和修理在固定资产后续支出过程中，什么情况下进行资本化，计入固定资产成本；什么条件下进行费用化，计入当期损益，入“管理费用”和“销售费用”账户，明确固定资产后续支出原则在会计核算过程中的实际应用。最后通过扫描二维码，登录问卷星平台对本次课程知识点进行课后练习，及时反馈教学效果，提高学生学习的积极性和自主学习的能力。</w:t>
      </w:r>
    </w:p>
    <w:p w:rsidR="003D33F8" w:rsidRPr="006D5950" w:rsidRDefault="003D33F8" w:rsidP="003D33F8">
      <w:pPr>
        <w:pStyle w:val="a5"/>
        <w:widowControl/>
        <w:spacing w:line="400" w:lineRule="exact"/>
        <w:ind w:leftChars="-104" w:left="-218" w:firstLineChars="300" w:firstLine="720"/>
        <w:rPr>
          <w:rFonts w:eastAsia="仿宋_GB2312"/>
          <w:snapToGrid w:val="0"/>
          <w:kern w:val="0"/>
          <w:sz w:val="24"/>
        </w:rPr>
      </w:pPr>
      <w:r>
        <w:rPr>
          <w:rFonts w:eastAsia="仿宋_GB2312" w:hint="eastAsia"/>
          <w:snapToGrid w:val="0"/>
          <w:kern w:val="0"/>
          <w:sz w:val="24"/>
        </w:rPr>
        <w:t>（二）</w:t>
      </w:r>
      <w:r w:rsidRPr="006D5950">
        <w:rPr>
          <w:rFonts w:eastAsia="仿宋_GB2312" w:hint="eastAsia"/>
          <w:snapToGrid w:val="0"/>
          <w:kern w:val="0"/>
          <w:sz w:val="24"/>
        </w:rPr>
        <w:t>教学对象</w:t>
      </w:r>
    </w:p>
    <w:p w:rsidR="003D33F8" w:rsidRPr="006D5950" w:rsidRDefault="003D33F8" w:rsidP="003D33F8">
      <w:pPr>
        <w:pStyle w:val="a5"/>
        <w:widowControl/>
        <w:spacing w:line="400" w:lineRule="exact"/>
        <w:ind w:leftChars="-104" w:left="-218" w:firstLineChars="300" w:firstLine="720"/>
        <w:rPr>
          <w:rFonts w:eastAsia="仿宋_GB2312"/>
          <w:snapToGrid w:val="0"/>
          <w:kern w:val="0"/>
          <w:sz w:val="24"/>
        </w:rPr>
      </w:pPr>
      <w:r w:rsidRPr="006D5950">
        <w:rPr>
          <w:rFonts w:eastAsia="仿宋_GB2312" w:hint="eastAsia"/>
          <w:snapToGrid w:val="0"/>
          <w:kern w:val="0"/>
          <w:sz w:val="24"/>
        </w:rPr>
        <w:t xml:space="preserve"> </w:t>
      </w:r>
      <w:r w:rsidRPr="006D5950">
        <w:rPr>
          <w:rFonts w:eastAsia="仿宋_GB2312" w:hint="eastAsia"/>
          <w:snapToGrid w:val="0"/>
          <w:kern w:val="0"/>
          <w:sz w:val="24"/>
        </w:rPr>
        <w:t>高职财经类会计类专业大一学生。</w:t>
      </w:r>
    </w:p>
    <w:p w:rsidR="003D33F8" w:rsidRPr="006D5950" w:rsidRDefault="003D33F8" w:rsidP="003D33F8">
      <w:pPr>
        <w:pStyle w:val="a5"/>
        <w:widowControl/>
        <w:spacing w:line="400" w:lineRule="exact"/>
        <w:ind w:leftChars="-104" w:left="-218" w:firstLineChars="300" w:firstLine="720"/>
        <w:rPr>
          <w:rFonts w:eastAsia="仿宋_GB2312"/>
          <w:snapToGrid w:val="0"/>
          <w:kern w:val="0"/>
          <w:sz w:val="24"/>
        </w:rPr>
      </w:pPr>
      <w:r w:rsidRPr="006D5950">
        <w:rPr>
          <w:rFonts w:eastAsia="仿宋_GB2312" w:hint="eastAsia"/>
          <w:snapToGrid w:val="0"/>
          <w:kern w:val="0"/>
          <w:sz w:val="24"/>
        </w:rPr>
        <w:t>（三）教学目的</w:t>
      </w:r>
    </w:p>
    <w:p w:rsidR="003D33F8" w:rsidRDefault="003D33F8" w:rsidP="003D33F8">
      <w:pPr>
        <w:widowControl/>
        <w:spacing w:line="400" w:lineRule="exact"/>
        <w:ind w:left="-18" w:firstLineChars="200" w:firstLine="480"/>
        <w:rPr>
          <w:rFonts w:eastAsia="仿宋_GB2312"/>
          <w:snapToGrid w:val="0"/>
          <w:kern w:val="0"/>
          <w:sz w:val="24"/>
        </w:rPr>
      </w:pPr>
      <w:r>
        <w:rPr>
          <w:rFonts w:eastAsia="仿宋_GB2312" w:hint="eastAsia"/>
          <w:snapToGrid w:val="0"/>
          <w:kern w:val="0"/>
          <w:sz w:val="24"/>
        </w:rPr>
        <w:t>理解固定资产后续支出原则中固定资产更新改造和修理的含义和区别，认真体会固定资产更新改造和修理记账过程中，资本化和费用化的入账标准。掌握固定资产后续支出在会计核算的实际应用，培养学生对会计工作的逻辑推理能力和职业判断能力。</w:t>
      </w:r>
    </w:p>
    <w:p w:rsidR="003D33F8" w:rsidRDefault="003D33F8" w:rsidP="003D33F8">
      <w:pPr>
        <w:pStyle w:val="a5"/>
        <w:widowControl/>
        <w:spacing w:line="400" w:lineRule="exact"/>
        <w:ind w:leftChars="-104" w:left="-218" w:firstLineChars="300" w:firstLine="720"/>
        <w:rPr>
          <w:rFonts w:eastAsia="仿宋_GB2312"/>
          <w:snapToGrid w:val="0"/>
          <w:kern w:val="0"/>
          <w:sz w:val="24"/>
        </w:rPr>
      </w:pPr>
      <w:r>
        <w:rPr>
          <w:rFonts w:eastAsia="仿宋_GB2312" w:hint="eastAsia"/>
          <w:snapToGrid w:val="0"/>
          <w:kern w:val="0"/>
          <w:sz w:val="24"/>
        </w:rPr>
        <w:t>（四）教学重点和难点</w:t>
      </w:r>
    </w:p>
    <w:p w:rsidR="003D33F8" w:rsidRDefault="003D33F8" w:rsidP="003D33F8">
      <w:pPr>
        <w:pStyle w:val="a5"/>
        <w:widowControl/>
        <w:spacing w:line="400" w:lineRule="exact"/>
        <w:ind w:firstLineChars="236" w:firstLine="566"/>
        <w:rPr>
          <w:rFonts w:eastAsia="仿宋_GB2312"/>
          <w:snapToGrid w:val="0"/>
          <w:kern w:val="0"/>
          <w:sz w:val="24"/>
        </w:rPr>
      </w:pPr>
      <w:r>
        <w:rPr>
          <w:rFonts w:eastAsia="仿宋_GB2312" w:hint="eastAsia"/>
          <w:snapToGrid w:val="0"/>
          <w:kern w:val="0"/>
          <w:sz w:val="24"/>
        </w:rPr>
        <w:t>重点：固定资产更新改造和修理的含义和区别</w:t>
      </w:r>
    </w:p>
    <w:p w:rsidR="003D33F8" w:rsidRPr="000C4DDD" w:rsidRDefault="003D33F8" w:rsidP="003D33F8">
      <w:pPr>
        <w:pStyle w:val="a5"/>
        <w:widowControl/>
        <w:spacing w:line="400" w:lineRule="exact"/>
        <w:ind w:leftChars="-104" w:left="-218" w:firstLineChars="300" w:firstLine="720"/>
        <w:rPr>
          <w:rFonts w:eastAsia="仿宋_GB2312"/>
          <w:snapToGrid w:val="0"/>
          <w:kern w:val="0"/>
          <w:sz w:val="24"/>
        </w:rPr>
      </w:pPr>
      <w:r>
        <w:rPr>
          <w:rFonts w:eastAsia="仿宋_GB2312" w:hint="eastAsia"/>
          <w:snapToGrid w:val="0"/>
          <w:kern w:val="0"/>
          <w:sz w:val="24"/>
        </w:rPr>
        <w:t>难点：固定资产后续支出中，更新改造和修理资本化和费用化的入账标准</w:t>
      </w:r>
    </w:p>
    <w:p w:rsidR="003D33F8" w:rsidRDefault="003D33F8" w:rsidP="003D33F8">
      <w:pPr>
        <w:pStyle w:val="a5"/>
        <w:widowControl/>
        <w:spacing w:line="400" w:lineRule="exact"/>
        <w:ind w:leftChars="-104" w:left="-218" w:firstLineChars="300" w:firstLine="720"/>
        <w:rPr>
          <w:rFonts w:eastAsia="仿宋_GB2312"/>
          <w:snapToGrid w:val="0"/>
          <w:kern w:val="0"/>
          <w:sz w:val="24"/>
        </w:rPr>
      </w:pPr>
      <w:r>
        <w:rPr>
          <w:rFonts w:eastAsia="仿宋_GB2312" w:hint="eastAsia"/>
          <w:snapToGrid w:val="0"/>
          <w:kern w:val="0"/>
          <w:sz w:val="24"/>
        </w:rPr>
        <w:t>（五）教学方法和技术应用分析</w:t>
      </w:r>
    </w:p>
    <w:p w:rsidR="003D33F8" w:rsidRDefault="003D33F8" w:rsidP="003D33F8">
      <w:pPr>
        <w:pStyle w:val="a5"/>
        <w:widowControl/>
        <w:spacing w:line="400" w:lineRule="exact"/>
        <w:ind w:left="567" w:firstLineChars="0" w:firstLine="0"/>
        <w:rPr>
          <w:rFonts w:eastAsia="仿宋_GB2312"/>
          <w:snapToGrid w:val="0"/>
          <w:kern w:val="0"/>
          <w:sz w:val="24"/>
        </w:rPr>
      </w:pPr>
      <w:r>
        <w:rPr>
          <w:rFonts w:eastAsia="仿宋_GB2312" w:hint="eastAsia"/>
          <w:snapToGrid w:val="0"/>
          <w:kern w:val="0"/>
          <w:sz w:val="24"/>
        </w:rPr>
        <w:t>教学方法：案例分析法，情景教学法，讲解法和启发法</w:t>
      </w:r>
    </w:p>
    <w:p w:rsidR="003D33F8" w:rsidRDefault="003D33F8" w:rsidP="003D33F8">
      <w:pPr>
        <w:pStyle w:val="a5"/>
        <w:widowControl/>
        <w:spacing w:line="400" w:lineRule="exact"/>
        <w:ind w:leftChars="-4" w:left="-8" w:firstLineChars="239" w:firstLine="574"/>
        <w:rPr>
          <w:rFonts w:eastAsia="仿宋_GB2312"/>
          <w:snapToGrid w:val="0"/>
          <w:kern w:val="0"/>
          <w:sz w:val="24"/>
        </w:rPr>
      </w:pPr>
      <w:r>
        <w:rPr>
          <w:rFonts w:eastAsia="仿宋_GB2312" w:hint="eastAsia"/>
          <w:snapToGrid w:val="0"/>
          <w:kern w:val="0"/>
          <w:sz w:val="24"/>
        </w:rPr>
        <w:t>技术应用：教师通过动画形式对课程内容进行展示，同时穿插相关视频画面进行讲解和情景模拟</w:t>
      </w:r>
    </w:p>
    <w:p w:rsidR="00687DA2" w:rsidRDefault="00687DA2" w:rsidP="00B574FF">
      <w:pPr>
        <w:widowControl/>
        <w:spacing w:line="560" w:lineRule="exact"/>
        <w:rPr>
          <w:rFonts w:ascii="宋体" w:hAnsi="宋体"/>
          <w:szCs w:val="21"/>
        </w:rPr>
      </w:pPr>
    </w:p>
    <w:p w:rsidR="00687DA2" w:rsidRDefault="00687DA2" w:rsidP="00B574FF">
      <w:pPr>
        <w:widowControl/>
        <w:spacing w:line="560" w:lineRule="exact"/>
        <w:rPr>
          <w:rFonts w:ascii="宋体" w:hAnsi="宋体"/>
          <w:szCs w:val="21"/>
        </w:rPr>
      </w:pPr>
    </w:p>
    <w:p w:rsidR="00687DA2" w:rsidRDefault="00687DA2" w:rsidP="00B574FF">
      <w:pPr>
        <w:widowControl/>
        <w:spacing w:line="560" w:lineRule="exact"/>
        <w:rPr>
          <w:rFonts w:ascii="宋体" w:hAnsi="宋体"/>
          <w:szCs w:val="21"/>
        </w:rPr>
      </w:pPr>
    </w:p>
    <w:p w:rsidR="00687DA2" w:rsidRDefault="00687DA2" w:rsidP="00B574FF">
      <w:pPr>
        <w:widowControl/>
        <w:spacing w:line="560" w:lineRule="exact"/>
        <w:rPr>
          <w:rFonts w:ascii="宋体" w:hAnsi="宋体"/>
          <w:szCs w:val="21"/>
        </w:rPr>
      </w:pPr>
    </w:p>
    <w:p w:rsidR="00687DA2" w:rsidRDefault="00687DA2" w:rsidP="00B574FF">
      <w:pPr>
        <w:widowControl/>
        <w:spacing w:line="560" w:lineRule="exact"/>
        <w:rPr>
          <w:rFonts w:ascii="宋体" w:hAnsi="宋体"/>
          <w:szCs w:val="21"/>
        </w:rPr>
      </w:pPr>
    </w:p>
    <w:p w:rsidR="00687DA2" w:rsidRDefault="00687DA2" w:rsidP="00B574FF">
      <w:pPr>
        <w:widowControl/>
        <w:spacing w:line="560" w:lineRule="exact"/>
        <w:rPr>
          <w:rFonts w:ascii="宋体" w:hAnsi="宋体"/>
          <w:szCs w:val="21"/>
        </w:rPr>
      </w:pPr>
    </w:p>
    <w:p w:rsidR="00B574FF" w:rsidRPr="00B574FF" w:rsidRDefault="00B574FF" w:rsidP="00B574FF">
      <w:pPr>
        <w:widowControl/>
        <w:spacing w:line="560" w:lineRule="exact"/>
        <w:rPr>
          <w:rFonts w:ascii="宋体" w:hAnsi="宋体"/>
          <w:szCs w:val="21"/>
        </w:rPr>
      </w:pPr>
      <w:r w:rsidRPr="00B574FF">
        <w:rPr>
          <w:rFonts w:ascii="宋体" w:hAnsi="宋体" w:hint="eastAsia"/>
          <w:szCs w:val="21"/>
        </w:rPr>
        <w:lastRenderedPageBreak/>
        <w:t>二、教学设计</w:t>
      </w:r>
    </w:p>
    <w:p w:rsidR="00B574FF" w:rsidRPr="00B574FF" w:rsidRDefault="00B218C8" w:rsidP="00B574FF">
      <w:pPr>
        <w:jc w:val="center"/>
        <w:rPr>
          <w:rFonts w:ascii="宋体" w:hAnsi="宋体"/>
          <w:szCs w:val="21"/>
        </w:rPr>
      </w:pPr>
      <w:r>
        <w:rPr>
          <w:rFonts w:ascii="宋体" w:hAnsi="宋体" w:hint="eastAsia"/>
          <w:szCs w:val="21"/>
        </w:rPr>
        <w:t>财务会计</w:t>
      </w:r>
      <w:r w:rsidR="00B574FF">
        <w:rPr>
          <w:rFonts w:ascii="宋体" w:hAnsi="宋体" w:hint="eastAsia"/>
          <w:szCs w:val="21"/>
        </w:rPr>
        <w:t>课时教案</w:t>
      </w:r>
    </w:p>
    <w:tbl>
      <w:tblPr>
        <w:tblpPr w:leftFromText="180" w:rightFromText="180" w:vertAnchor="text" w:horzAnchor="margin" w:tblpY="27"/>
        <w:tblW w:w="97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369"/>
        <w:gridCol w:w="4400"/>
        <w:gridCol w:w="136"/>
        <w:gridCol w:w="986"/>
        <w:gridCol w:w="1893"/>
      </w:tblGrid>
      <w:tr w:rsidR="00B574FF" w:rsidRPr="003A610A" w:rsidTr="00687DA2">
        <w:trPr>
          <w:trHeight w:val="481"/>
        </w:trPr>
        <w:tc>
          <w:tcPr>
            <w:tcW w:w="2369" w:type="dxa"/>
            <w:tcBorders>
              <w:top w:val="single" w:sz="12" w:space="0" w:color="auto"/>
              <w:left w:val="single" w:sz="12" w:space="0" w:color="auto"/>
              <w:bottom w:val="single" w:sz="4" w:space="0" w:color="auto"/>
              <w:right w:val="single" w:sz="4" w:space="0" w:color="auto"/>
            </w:tcBorders>
            <w:vAlign w:val="center"/>
          </w:tcPr>
          <w:p w:rsidR="00B574FF" w:rsidRPr="003A610A" w:rsidRDefault="00B574FF" w:rsidP="00B574FF">
            <w:pPr>
              <w:tabs>
                <w:tab w:val="left" w:pos="7080"/>
              </w:tabs>
              <w:spacing w:before="60"/>
              <w:jc w:val="center"/>
              <w:rPr>
                <w:rFonts w:ascii="宋体" w:hAnsi="宋体"/>
                <w:szCs w:val="21"/>
              </w:rPr>
            </w:pPr>
            <w:r w:rsidRPr="003A610A">
              <w:rPr>
                <w:rFonts w:ascii="宋体" w:hAnsi="宋体" w:hint="eastAsia"/>
                <w:szCs w:val="21"/>
              </w:rPr>
              <w:t>授课题目</w:t>
            </w:r>
          </w:p>
        </w:tc>
        <w:tc>
          <w:tcPr>
            <w:tcW w:w="4400" w:type="dxa"/>
            <w:tcBorders>
              <w:top w:val="single" w:sz="12" w:space="0" w:color="auto"/>
              <w:left w:val="single" w:sz="4" w:space="0" w:color="auto"/>
              <w:bottom w:val="single" w:sz="4" w:space="0" w:color="auto"/>
              <w:right w:val="single" w:sz="4" w:space="0" w:color="auto"/>
            </w:tcBorders>
            <w:vAlign w:val="center"/>
          </w:tcPr>
          <w:p w:rsidR="00B574FF" w:rsidRPr="008D4853" w:rsidRDefault="003D33F8" w:rsidP="00B574FF">
            <w:pPr>
              <w:tabs>
                <w:tab w:val="left" w:pos="7080"/>
              </w:tabs>
              <w:spacing w:before="60"/>
              <w:jc w:val="center"/>
              <w:rPr>
                <w:rFonts w:ascii="宋体" w:hAnsi="宋体"/>
                <w:b/>
                <w:sz w:val="28"/>
                <w:szCs w:val="28"/>
              </w:rPr>
            </w:pPr>
            <w:r>
              <w:rPr>
                <w:rFonts w:ascii="宋体" w:hAnsi="宋体" w:hint="eastAsia"/>
                <w:szCs w:val="21"/>
              </w:rPr>
              <w:t>固定资产后续支出原则</w:t>
            </w:r>
          </w:p>
        </w:tc>
        <w:tc>
          <w:tcPr>
            <w:tcW w:w="1122" w:type="dxa"/>
            <w:gridSpan w:val="2"/>
            <w:tcBorders>
              <w:top w:val="single" w:sz="12" w:space="0" w:color="auto"/>
              <w:left w:val="single" w:sz="4" w:space="0" w:color="auto"/>
              <w:bottom w:val="single" w:sz="4" w:space="0" w:color="auto"/>
              <w:right w:val="single" w:sz="4" w:space="0" w:color="auto"/>
            </w:tcBorders>
            <w:vAlign w:val="center"/>
          </w:tcPr>
          <w:p w:rsidR="00B574FF" w:rsidRPr="003A610A" w:rsidRDefault="00B574FF" w:rsidP="00B574FF">
            <w:pPr>
              <w:tabs>
                <w:tab w:val="left" w:pos="7080"/>
              </w:tabs>
              <w:jc w:val="center"/>
              <w:rPr>
                <w:rFonts w:ascii="宋体" w:hAnsi="宋体"/>
                <w:szCs w:val="21"/>
              </w:rPr>
            </w:pPr>
            <w:r>
              <w:rPr>
                <w:rFonts w:ascii="宋体" w:hAnsi="宋体" w:hint="eastAsia"/>
                <w:szCs w:val="21"/>
              </w:rPr>
              <w:t>计划课时</w:t>
            </w:r>
          </w:p>
        </w:tc>
        <w:tc>
          <w:tcPr>
            <w:tcW w:w="1893" w:type="dxa"/>
            <w:tcBorders>
              <w:top w:val="single" w:sz="12" w:space="0" w:color="auto"/>
              <w:left w:val="single" w:sz="4" w:space="0" w:color="auto"/>
              <w:bottom w:val="single" w:sz="4" w:space="0" w:color="auto"/>
              <w:right w:val="single" w:sz="12" w:space="0" w:color="auto"/>
            </w:tcBorders>
            <w:vAlign w:val="center"/>
          </w:tcPr>
          <w:p w:rsidR="00B574FF" w:rsidRPr="003A610A" w:rsidRDefault="003D33F8" w:rsidP="0097778B">
            <w:pPr>
              <w:tabs>
                <w:tab w:val="left" w:pos="7080"/>
              </w:tabs>
              <w:rPr>
                <w:rFonts w:ascii="宋体" w:hAnsi="宋体"/>
                <w:szCs w:val="21"/>
              </w:rPr>
            </w:pPr>
            <w:r>
              <w:rPr>
                <w:rFonts w:ascii="宋体" w:hAnsi="宋体" w:hint="eastAsia"/>
                <w:szCs w:val="21"/>
              </w:rPr>
              <w:t>8</w:t>
            </w:r>
            <w:r w:rsidR="007365A2">
              <w:rPr>
                <w:rFonts w:ascii="宋体" w:hAnsi="宋体" w:hint="eastAsia"/>
                <w:szCs w:val="21"/>
              </w:rPr>
              <w:t>分钟</w:t>
            </w:r>
          </w:p>
        </w:tc>
      </w:tr>
      <w:tr w:rsidR="00B574FF" w:rsidRPr="003A610A" w:rsidTr="00687DA2">
        <w:trPr>
          <w:trHeight w:val="481"/>
        </w:trPr>
        <w:tc>
          <w:tcPr>
            <w:tcW w:w="6905" w:type="dxa"/>
            <w:gridSpan w:val="3"/>
            <w:tcBorders>
              <w:top w:val="single" w:sz="4" w:space="0" w:color="auto"/>
              <w:left w:val="single" w:sz="12" w:space="0" w:color="auto"/>
              <w:bottom w:val="single" w:sz="4" w:space="0" w:color="auto"/>
              <w:right w:val="single" w:sz="4" w:space="0" w:color="auto"/>
            </w:tcBorders>
            <w:vAlign w:val="center"/>
          </w:tcPr>
          <w:p w:rsidR="00B574FF" w:rsidRPr="003A610A" w:rsidRDefault="00B574FF" w:rsidP="00B574FF">
            <w:pPr>
              <w:tabs>
                <w:tab w:val="left" w:pos="7080"/>
              </w:tabs>
              <w:spacing w:before="60"/>
              <w:jc w:val="center"/>
              <w:rPr>
                <w:rFonts w:ascii="宋体" w:hAnsi="宋体"/>
                <w:szCs w:val="21"/>
              </w:rPr>
            </w:pPr>
            <w:r w:rsidRPr="003A610A">
              <w:rPr>
                <w:rFonts w:ascii="宋体" w:hAnsi="宋体" w:hint="eastAsia"/>
                <w:szCs w:val="21"/>
              </w:rPr>
              <w:t>教学内容与进程安排</w:t>
            </w:r>
          </w:p>
        </w:tc>
        <w:tc>
          <w:tcPr>
            <w:tcW w:w="2879" w:type="dxa"/>
            <w:gridSpan w:val="2"/>
            <w:tcBorders>
              <w:top w:val="single" w:sz="4" w:space="0" w:color="auto"/>
              <w:left w:val="single" w:sz="4" w:space="0" w:color="auto"/>
              <w:bottom w:val="single" w:sz="4" w:space="0" w:color="auto"/>
              <w:right w:val="single" w:sz="12" w:space="0" w:color="auto"/>
            </w:tcBorders>
            <w:vAlign w:val="center"/>
          </w:tcPr>
          <w:p w:rsidR="00B574FF" w:rsidRPr="003A610A" w:rsidRDefault="00B574FF" w:rsidP="00B574FF">
            <w:pPr>
              <w:tabs>
                <w:tab w:val="left" w:pos="7080"/>
              </w:tabs>
              <w:spacing w:before="60"/>
              <w:jc w:val="center"/>
              <w:rPr>
                <w:rFonts w:ascii="宋体" w:hAnsi="宋体"/>
                <w:szCs w:val="21"/>
              </w:rPr>
            </w:pPr>
            <w:r w:rsidRPr="003A610A">
              <w:rPr>
                <w:rFonts w:ascii="宋体" w:hAnsi="宋体" w:hint="eastAsia"/>
                <w:szCs w:val="21"/>
              </w:rPr>
              <w:t>教学组织设计</w:t>
            </w:r>
          </w:p>
        </w:tc>
      </w:tr>
      <w:tr w:rsidR="00B574FF" w:rsidRPr="003A610A" w:rsidTr="00687DA2">
        <w:trPr>
          <w:trHeight w:val="9062"/>
        </w:trPr>
        <w:tc>
          <w:tcPr>
            <w:tcW w:w="6905" w:type="dxa"/>
            <w:gridSpan w:val="3"/>
            <w:tcBorders>
              <w:top w:val="single" w:sz="4" w:space="0" w:color="auto"/>
              <w:left w:val="single" w:sz="12" w:space="0" w:color="auto"/>
              <w:bottom w:val="single" w:sz="4" w:space="0" w:color="auto"/>
              <w:right w:val="single" w:sz="4" w:space="0" w:color="auto"/>
            </w:tcBorders>
          </w:tcPr>
          <w:p w:rsidR="007365A2" w:rsidRPr="007365A2" w:rsidRDefault="003D33F8" w:rsidP="003D33F8">
            <w:pPr>
              <w:pStyle w:val="a5"/>
              <w:widowControl/>
              <w:spacing w:line="560" w:lineRule="exact"/>
              <w:ind w:left="142"/>
              <w:rPr>
                <w:rFonts w:ascii="宋体" w:hAnsi="宋体"/>
                <w:szCs w:val="21"/>
              </w:rPr>
            </w:pPr>
            <w:r>
              <w:rPr>
                <w:rFonts w:ascii="宋体" w:hAnsi="宋体" w:hint="eastAsia"/>
                <w:szCs w:val="21"/>
              </w:rPr>
              <w:t>（一）</w:t>
            </w:r>
            <w:r w:rsidR="007365A2" w:rsidRPr="007365A2">
              <w:rPr>
                <w:rFonts w:ascii="宋体" w:hAnsi="宋体" w:hint="eastAsia"/>
                <w:szCs w:val="21"/>
              </w:rPr>
              <w:t>课程导入</w:t>
            </w:r>
          </w:p>
          <w:p w:rsidR="003D33F8" w:rsidRDefault="003D33F8" w:rsidP="003D33F8">
            <w:pPr>
              <w:widowControl/>
              <w:spacing w:line="400" w:lineRule="exact"/>
              <w:ind w:firstLineChars="200" w:firstLine="480"/>
              <w:rPr>
                <w:rFonts w:eastAsia="仿宋_GB2312"/>
                <w:snapToGrid w:val="0"/>
                <w:kern w:val="0"/>
                <w:sz w:val="24"/>
              </w:rPr>
            </w:pPr>
            <w:r>
              <w:rPr>
                <w:rFonts w:eastAsia="仿宋_GB2312" w:hint="eastAsia"/>
                <w:snapToGrid w:val="0"/>
                <w:kern w:val="0"/>
                <w:sz w:val="24"/>
              </w:rPr>
              <w:t>通过提出北京“二环十三郎”的案例，引出固定资产更新改造和修理的含义和区别，进一步将课程带入固定资产后续支出的内容中。</w:t>
            </w:r>
          </w:p>
          <w:p w:rsidR="003D33F8" w:rsidRDefault="003D33F8" w:rsidP="003D33F8">
            <w:pPr>
              <w:widowControl/>
              <w:spacing w:line="400" w:lineRule="exact"/>
              <w:ind w:left="480"/>
              <w:rPr>
                <w:rFonts w:eastAsia="仿宋_GB2312"/>
                <w:snapToGrid w:val="0"/>
                <w:kern w:val="0"/>
                <w:sz w:val="24"/>
              </w:rPr>
            </w:pPr>
            <w:r>
              <w:rPr>
                <w:rFonts w:eastAsia="仿宋_GB2312" w:hint="eastAsia"/>
                <w:snapToGrid w:val="0"/>
                <w:kern w:val="0"/>
                <w:sz w:val="24"/>
              </w:rPr>
              <w:t>（二）讲授课程</w:t>
            </w:r>
          </w:p>
          <w:p w:rsidR="003D33F8" w:rsidRDefault="003D33F8" w:rsidP="003D33F8">
            <w:pPr>
              <w:pStyle w:val="a5"/>
              <w:widowControl/>
              <w:numPr>
                <w:ilvl w:val="0"/>
                <w:numId w:val="4"/>
              </w:numPr>
              <w:spacing w:line="400" w:lineRule="exact"/>
              <w:ind w:firstLineChars="0"/>
              <w:rPr>
                <w:rFonts w:eastAsia="仿宋_GB2312"/>
                <w:snapToGrid w:val="0"/>
                <w:kern w:val="0"/>
                <w:sz w:val="24"/>
              </w:rPr>
            </w:pPr>
            <w:r>
              <w:rPr>
                <w:rFonts w:eastAsia="仿宋_GB2312" w:hint="eastAsia"/>
                <w:snapToGrid w:val="0"/>
                <w:kern w:val="0"/>
                <w:sz w:val="24"/>
              </w:rPr>
              <w:t xml:space="preserve">  </w:t>
            </w:r>
            <w:r>
              <w:rPr>
                <w:rFonts w:eastAsia="仿宋_GB2312" w:hint="eastAsia"/>
                <w:snapToGrid w:val="0"/>
                <w:kern w:val="0"/>
                <w:sz w:val="24"/>
              </w:rPr>
              <w:t>运用讲授法和情景教学分析法，结合固定资产后续计量的介绍，针对案例中车辆的改装，配合相关图片动画视频，引出固定资产更新改造和修理</w:t>
            </w:r>
            <w:r w:rsidRPr="00621C23">
              <w:rPr>
                <w:rFonts w:eastAsia="仿宋_GB2312" w:hint="eastAsia"/>
                <w:snapToGrid w:val="0"/>
                <w:kern w:val="0"/>
                <w:sz w:val="24"/>
              </w:rPr>
              <w:t>的含义</w:t>
            </w:r>
            <w:r>
              <w:rPr>
                <w:rFonts w:eastAsia="仿宋_GB2312" w:hint="eastAsia"/>
                <w:snapToGrid w:val="0"/>
                <w:kern w:val="0"/>
                <w:sz w:val="24"/>
              </w:rPr>
              <w:t>和区别</w:t>
            </w:r>
            <w:r w:rsidRPr="00621C23">
              <w:rPr>
                <w:rFonts w:eastAsia="仿宋_GB2312" w:hint="eastAsia"/>
                <w:snapToGrid w:val="0"/>
                <w:kern w:val="0"/>
                <w:sz w:val="24"/>
              </w:rPr>
              <w:t>，加深学生对</w:t>
            </w:r>
            <w:r>
              <w:rPr>
                <w:rFonts w:eastAsia="仿宋_GB2312" w:hint="eastAsia"/>
                <w:snapToGrid w:val="0"/>
                <w:kern w:val="0"/>
                <w:sz w:val="24"/>
              </w:rPr>
              <w:t>固定资产后续支出中，发生的更新改造和修理在会计核算工作中的处理原则，帮助学生</w:t>
            </w:r>
            <w:r w:rsidRPr="00621C23">
              <w:rPr>
                <w:rFonts w:eastAsia="仿宋_GB2312" w:hint="eastAsia"/>
                <w:snapToGrid w:val="0"/>
                <w:kern w:val="0"/>
                <w:sz w:val="24"/>
              </w:rPr>
              <w:t>更深入的理解</w:t>
            </w:r>
            <w:r>
              <w:rPr>
                <w:rFonts w:eastAsia="仿宋_GB2312" w:hint="eastAsia"/>
                <w:snapToGrid w:val="0"/>
                <w:kern w:val="0"/>
                <w:sz w:val="24"/>
              </w:rPr>
              <w:t>固定资产的更新改造和修理在什么情况下进行资本化，计入固定资产；什么情况下进行费用化，计入当期损益。</w:t>
            </w:r>
          </w:p>
          <w:p w:rsidR="003D33F8" w:rsidRDefault="003D33F8" w:rsidP="003D33F8">
            <w:pPr>
              <w:pStyle w:val="a5"/>
              <w:widowControl/>
              <w:numPr>
                <w:ilvl w:val="0"/>
                <w:numId w:val="4"/>
              </w:numPr>
              <w:spacing w:line="400" w:lineRule="exact"/>
              <w:ind w:firstLineChars="0"/>
              <w:rPr>
                <w:rFonts w:eastAsia="仿宋_GB2312"/>
                <w:snapToGrid w:val="0"/>
                <w:kern w:val="0"/>
                <w:sz w:val="24"/>
              </w:rPr>
            </w:pPr>
            <w:r>
              <w:rPr>
                <w:rFonts w:eastAsia="仿宋_GB2312" w:hint="eastAsia"/>
                <w:snapToGrid w:val="0"/>
                <w:kern w:val="0"/>
                <w:sz w:val="24"/>
              </w:rPr>
              <w:t xml:space="preserve">  </w:t>
            </w:r>
            <w:r>
              <w:rPr>
                <w:rFonts w:eastAsia="仿宋_GB2312" w:hint="eastAsia"/>
                <w:snapToGrid w:val="0"/>
                <w:kern w:val="0"/>
                <w:sz w:val="24"/>
              </w:rPr>
              <w:t>通过动画图表回到课程中提出的两个案例，总结固定资产后续支出中，更新改造和修理的会计核算原则，将固定资产后续支出中，更新改造和修理两种情况的会计处理进行分析对比，并且为加深学生对两种情况知识点的掌握，对固定资产更新改造和修理的会计入账处理问题，通过分解表进行个别解析，让学生更熟练了解掌握固定资产后续原则在会计核算确认中的实际应用。</w:t>
            </w:r>
            <w:r>
              <w:rPr>
                <w:rFonts w:eastAsia="仿宋_GB2312" w:hint="eastAsia"/>
                <w:snapToGrid w:val="0"/>
                <w:kern w:val="0"/>
                <w:sz w:val="24"/>
              </w:rPr>
              <w:t xml:space="preserve">   </w:t>
            </w:r>
          </w:p>
          <w:p w:rsidR="007365A2" w:rsidRPr="003D33F8" w:rsidRDefault="003D33F8" w:rsidP="003D33F8">
            <w:pPr>
              <w:widowControl/>
              <w:spacing w:line="560" w:lineRule="exact"/>
              <w:ind w:firstLineChars="300" w:firstLine="630"/>
              <w:rPr>
                <w:rFonts w:ascii="宋体" w:hAnsi="宋体"/>
                <w:szCs w:val="21"/>
              </w:rPr>
            </w:pPr>
            <w:r>
              <w:rPr>
                <w:rFonts w:ascii="宋体" w:hAnsi="宋体" w:hint="eastAsia"/>
                <w:szCs w:val="21"/>
              </w:rPr>
              <w:t>（三）</w:t>
            </w:r>
            <w:r w:rsidR="007365A2" w:rsidRPr="003D33F8">
              <w:rPr>
                <w:rFonts w:ascii="宋体" w:hAnsi="宋体" w:hint="eastAsia"/>
                <w:szCs w:val="21"/>
              </w:rPr>
              <w:t>结束课程</w:t>
            </w:r>
          </w:p>
          <w:p w:rsidR="00CF5CA7" w:rsidRPr="007365A2" w:rsidRDefault="00CF5CA7" w:rsidP="00CF5CA7">
            <w:pPr>
              <w:pStyle w:val="a5"/>
              <w:widowControl/>
              <w:spacing w:line="560" w:lineRule="exact"/>
              <w:ind w:left="1004" w:firstLineChars="0" w:firstLine="0"/>
              <w:rPr>
                <w:rFonts w:ascii="宋体" w:hAnsi="宋体"/>
                <w:szCs w:val="21"/>
              </w:rPr>
            </w:pPr>
            <w:r>
              <w:rPr>
                <w:rFonts w:ascii="宋体" w:hAnsi="宋体" w:hint="eastAsia"/>
                <w:szCs w:val="21"/>
              </w:rPr>
              <w:t>通过二维码布置课后练习</w:t>
            </w:r>
          </w:p>
          <w:p w:rsidR="00B574FF" w:rsidRPr="003A610A" w:rsidRDefault="00B574FF" w:rsidP="00B574FF">
            <w:pPr>
              <w:ind w:firstLineChars="200" w:firstLine="420"/>
              <w:rPr>
                <w:rFonts w:ascii="宋体" w:hAnsi="宋体"/>
                <w:szCs w:val="21"/>
              </w:rPr>
            </w:pPr>
          </w:p>
        </w:tc>
        <w:tc>
          <w:tcPr>
            <w:tcW w:w="2879" w:type="dxa"/>
            <w:gridSpan w:val="2"/>
            <w:tcBorders>
              <w:top w:val="single" w:sz="4" w:space="0" w:color="auto"/>
              <w:left w:val="single" w:sz="4" w:space="0" w:color="auto"/>
              <w:bottom w:val="single" w:sz="4" w:space="0" w:color="auto"/>
              <w:right w:val="single" w:sz="12" w:space="0" w:color="auto"/>
            </w:tcBorders>
          </w:tcPr>
          <w:p w:rsidR="00B574FF" w:rsidRDefault="00B574FF" w:rsidP="00B574FF">
            <w:pPr>
              <w:rPr>
                <w:rFonts w:ascii="宋体" w:hAnsi="宋体"/>
                <w:szCs w:val="21"/>
              </w:rPr>
            </w:pPr>
          </w:p>
          <w:p w:rsidR="00B574FF" w:rsidRDefault="00B574FF" w:rsidP="00B574FF">
            <w:pPr>
              <w:ind w:firstLineChars="200" w:firstLine="420"/>
              <w:rPr>
                <w:rFonts w:ascii="宋体" w:hAnsi="宋体"/>
                <w:szCs w:val="21"/>
              </w:rPr>
            </w:pPr>
          </w:p>
          <w:p w:rsidR="00B574FF" w:rsidRDefault="003D33F8" w:rsidP="00687DA2">
            <w:pPr>
              <w:rPr>
                <w:rFonts w:ascii="宋体" w:hAnsi="宋体"/>
                <w:szCs w:val="21"/>
              </w:rPr>
            </w:pPr>
            <w:r>
              <w:rPr>
                <w:rFonts w:ascii="宋体" w:hAnsi="宋体" w:hint="eastAsia"/>
                <w:szCs w:val="21"/>
              </w:rPr>
              <w:t>案例教学法，</w:t>
            </w:r>
            <w:r w:rsidR="00687DA2">
              <w:rPr>
                <w:rFonts w:ascii="宋体" w:hAnsi="宋体" w:hint="eastAsia"/>
                <w:szCs w:val="21"/>
              </w:rPr>
              <w:t>情景教学法</w:t>
            </w:r>
          </w:p>
          <w:p w:rsidR="007365A2" w:rsidRDefault="007365A2" w:rsidP="00B574FF">
            <w:pPr>
              <w:rPr>
                <w:rFonts w:ascii="宋体" w:hAnsi="宋体"/>
                <w:szCs w:val="21"/>
              </w:rPr>
            </w:pPr>
          </w:p>
          <w:p w:rsidR="007365A2" w:rsidRDefault="007365A2" w:rsidP="00B574FF">
            <w:pPr>
              <w:rPr>
                <w:rFonts w:ascii="宋体" w:hAnsi="宋体"/>
                <w:szCs w:val="21"/>
              </w:rPr>
            </w:pPr>
          </w:p>
          <w:p w:rsidR="007365A2" w:rsidRDefault="007365A2" w:rsidP="00B574FF">
            <w:pPr>
              <w:rPr>
                <w:rFonts w:ascii="宋体" w:hAnsi="宋体"/>
                <w:szCs w:val="21"/>
              </w:rPr>
            </w:pPr>
          </w:p>
          <w:p w:rsidR="007365A2" w:rsidRDefault="007365A2" w:rsidP="00B574FF">
            <w:pPr>
              <w:rPr>
                <w:rFonts w:ascii="宋体" w:hAnsi="宋体"/>
                <w:szCs w:val="21"/>
              </w:rPr>
            </w:pPr>
          </w:p>
          <w:p w:rsidR="007365A2" w:rsidRDefault="007365A2" w:rsidP="00B574FF">
            <w:pPr>
              <w:rPr>
                <w:rFonts w:ascii="宋体" w:hAnsi="宋体"/>
                <w:szCs w:val="21"/>
              </w:rPr>
            </w:pPr>
          </w:p>
          <w:p w:rsidR="007365A2" w:rsidRDefault="007365A2" w:rsidP="00B574FF">
            <w:pPr>
              <w:rPr>
                <w:rFonts w:ascii="宋体" w:hAnsi="宋体"/>
                <w:szCs w:val="21"/>
              </w:rPr>
            </w:pPr>
          </w:p>
          <w:p w:rsidR="007365A2" w:rsidRDefault="007365A2" w:rsidP="00B574FF">
            <w:pPr>
              <w:rPr>
                <w:rFonts w:ascii="宋体" w:hAnsi="宋体"/>
                <w:szCs w:val="21"/>
              </w:rPr>
            </w:pPr>
          </w:p>
          <w:p w:rsidR="007365A2" w:rsidRDefault="007365A2" w:rsidP="00B574FF">
            <w:pPr>
              <w:rPr>
                <w:rFonts w:ascii="宋体" w:hAnsi="宋体"/>
                <w:szCs w:val="21"/>
              </w:rPr>
            </w:pPr>
          </w:p>
          <w:p w:rsidR="007365A2" w:rsidRDefault="00B574FF" w:rsidP="00687DA2">
            <w:pPr>
              <w:ind w:firstLineChars="200" w:firstLine="420"/>
              <w:rPr>
                <w:rFonts w:ascii="宋体" w:hAnsi="宋体"/>
                <w:szCs w:val="21"/>
              </w:rPr>
            </w:pPr>
            <w:r>
              <w:rPr>
                <w:rFonts w:ascii="宋体" w:hAnsi="宋体" w:hint="eastAsia"/>
                <w:szCs w:val="21"/>
              </w:rPr>
              <w:t>案例分析法</w:t>
            </w:r>
            <w:r w:rsidR="00BA288F">
              <w:rPr>
                <w:rFonts w:ascii="宋体" w:hAnsi="宋体" w:hint="eastAsia"/>
                <w:szCs w:val="21"/>
              </w:rPr>
              <w:t>分析固定资产后续支出中固定资产更新改造和修理</w:t>
            </w:r>
            <w:r w:rsidR="00687DA2">
              <w:rPr>
                <w:rFonts w:ascii="宋体" w:hAnsi="宋体" w:hint="eastAsia"/>
                <w:szCs w:val="21"/>
              </w:rPr>
              <w:t>的定义和区别</w:t>
            </w:r>
          </w:p>
          <w:p w:rsidR="007365A2" w:rsidRDefault="007365A2" w:rsidP="00B574FF">
            <w:pPr>
              <w:rPr>
                <w:rFonts w:ascii="宋体" w:hAnsi="宋体"/>
                <w:szCs w:val="21"/>
              </w:rPr>
            </w:pPr>
          </w:p>
          <w:p w:rsidR="007365A2" w:rsidRDefault="007365A2" w:rsidP="00B574FF">
            <w:pPr>
              <w:rPr>
                <w:rFonts w:ascii="宋体" w:hAnsi="宋体"/>
                <w:szCs w:val="21"/>
              </w:rPr>
            </w:pPr>
          </w:p>
          <w:p w:rsidR="007365A2" w:rsidRDefault="007365A2" w:rsidP="00B574FF">
            <w:pPr>
              <w:rPr>
                <w:rFonts w:ascii="宋体" w:hAnsi="宋体"/>
                <w:szCs w:val="21"/>
              </w:rPr>
            </w:pPr>
          </w:p>
          <w:p w:rsidR="007365A2" w:rsidRDefault="007365A2" w:rsidP="00B574FF">
            <w:pPr>
              <w:rPr>
                <w:rFonts w:ascii="宋体" w:hAnsi="宋体"/>
                <w:szCs w:val="21"/>
              </w:rPr>
            </w:pPr>
          </w:p>
          <w:p w:rsidR="007365A2" w:rsidRDefault="007365A2" w:rsidP="00B574FF">
            <w:pPr>
              <w:rPr>
                <w:rFonts w:ascii="宋体" w:hAnsi="宋体"/>
                <w:szCs w:val="21"/>
              </w:rPr>
            </w:pPr>
          </w:p>
          <w:p w:rsidR="007365A2" w:rsidRDefault="007365A2" w:rsidP="00B574FF">
            <w:pPr>
              <w:rPr>
                <w:rFonts w:ascii="宋体" w:hAnsi="宋体"/>
                <w:szCs w:val="21"/>
              </w:rPr>
            </w:pPr>
          </w:p>
          <w:p w:rsidR="00CF5CA7" w:rsidRDefault="00BA288F" w:rsidP="00687DA2">
            <w:pPr>
              <w:ind w:firstLineChars="300" w:firstLine="630"/>
              <w:rPr>
                <w:rFonts w:ascii="宋体" w:hAnsi="宋体"/>
                <w:szCs w:val="21"/>
              </w:rPr>
            </w:pPr>
            <w:r>
              <w:rPr>
                <w:rFonts w:ascii="宋体" w:hAnsi="宋体" w:hint="eastAsia"/>
                <w:szCs w:val="21"/>
              </w:rPr>
              <w:t>采用案例教学法，通过图表，总结固定资产更新改造和修理资本化和费用化的入账标准</w:t>
            </w:r>
          </w:p>
          <w:p w:rsidR="00B574FF" w:rsidRDefault="00B574FF" w:rsidP="00B574FF">
            <w:pPr>
              <w:rPr>
                <w:rFonts w:ascii="宋体" w:hAnsi="宋体"/>
                <w:szCs w:val="21"/>
              </w:rPr>
            </w:pPr>
          </w:p>
          <w:p w:rsidR="00B574FF" w:rsidRDefault="00B574FF" w:rsidP="00B574FF">
            <w:pPr>
              <w:ind w:firstLineChars="200" w:firstLine="420"/>
              <w:rPr>
                <w:rFonts w:ascii="宋体" w:hAnsi="宋体"/>
                <w:szCs w:val="21"/>
              </w:rPr>
            </w:pPr>
          </w:p>
          <w:p w:rsidR="00B574FF" w:rsidRDefault="00B574FF" w:rsidP="00B574FF">
            <w:pPr>
              <w:ind w:firstLineChars="200" w:firstLine="420"/>
              <w:rPr>
                <w:rFonts w:ascii="宋体" w:hAnsi="宋体"/>
                <w:szCs w:val="21"/>
              </w:rPr>
            </w:pPr>
          </w:p>
          <w:p w:rsidR="00B574FF" w:rsidRDefault="00B574FF" w:rsidP="00B574FF">
            <w:pPr>
              <w:ind w:firstLineChars="200" w:firstLine="420"/>
              <w:rPr>
                <w:rFonts w:ascii="宋体" w:hAnsi="宋体"/>
                <w:szCs w:val="21"/>
              </w:rPr>
            </w:pPr>
          </w:p>
          <w:p w:rsidR="00B574FF" w:rsidRDefault="00B574FF" w:rsidP="005E425C">
            <w:pPr>
              <w:rPr>
                <w:rFonts w:ascii="宋体" w:hAnsi="宋体"/>
                <w:szCs w:val="21"/>
              </w:rPr>
            </w:pPr>
          </w:p>
          <w:p w:rsidR="00CF5CA7" w:rsidRDefault="00CF5CA7" w:rsidP="00B574FF">
            <w:pPr>
              <w:rPr>
                <w:rFonts w:ascii="宋体" w:hAnsi="宋体"/>
                <w:szCs w:val="21"/>
              </w:rPr>
            </w:pPr>
          </w:p>
          <w:p w:rsidR="00B574FF" w:rsidRDefault="00B574FF" w:rsidP="00B574FF">
            <w:pPr>
              <w:rPr>
                <w:rFonts w:ascii="宋体" w:hAnsi="宋体"/>
                <w:szCs w:val="21"/>
              </w:rPr>
            </w:pPr>
            <w:r>
              <w:rPr>
                <w:rFonts w:ascii="宋体" w:hAnsi="宋体" w:hint="eastAsia"/>
                <w:szCs w:val="21"/>
              </w:rPr>
              <w:t>归纳法：</w:t>
            </w:r>
          </w:p>
          <w:p w:rsidR="00B574FF" w:rsidRDefault="00B574FF" w:rsidP="00B574FF">
            <w:pPr>
              <w:ind w:leftChars="-35" w:left="-73"/>
              <w:rPr>
                <w:rFonts w:ascii="宋体" w:hAnsi="宋体"/>
                <w:szCs w:val="21"/>
              </w:rPr>
            </w:pPr>
            <w:r>
              <w:rPr>
                <w:rFonts w:ascii="宋体" w:hAnsi="宋体" w:hint="eastAsia"/>
                <w:szCs w:val="21"/>
              </w:rPr>
              <w:t>（1）简单小结授课内容；</w:t>
            </w:r>
          </w:p>
          <w:p w:rsidR="00B574FF" w:rsidRDefault="00B574FF" w:rsidP="00B574FF">
            <w:pPr>
              <w:ind w:leftChars="-35" w:hangingChars="35" w:hanging="73"/>
              <w:rPr>
                <w:rFonts w:ascii="宋体" w:hAnsi="宋体"/>
                <w:szCs w:val="21"/>
              </w:rPr>
            </w:pPr>
            <w:r>
              <w:rPr>
                <w:rFonts w:ascii="宋体" w:hAnsi="宋体" w:hint="eastAsia"/>
                <w:szCs w:val="21"/>
              </w:rPr>
              <w:t>（2）强调课程的重点难点。</w:t>
            </w:r>
          </w:p>
          <w:p w:rsidR="00B574FF" w:rsidRPr="003A610A" w:rsidRDefault="00B574FF" w:rsidP="00B574FF">
            <w:pPr>
              <w:ind w:firstLineChars="200" w:firstLine="420"/>
              <w:rPr>
                <w:rFonts w:ascii="宋体" w:hAnsi="宋体"/>
                <w:szCs w:val="21"/>
              </w:rPr>
            </w:pPr>
          </w:p>
        </w:tc>
      </w:tr>
    </w:tbl>
    <w:p w:rsidR="00B574FF" w:rsidRPr="00B574FF" w:rsidRDefault="00B574FF" w:rsidP="00B574FF">
      <w:pPr>
        <w:jc w:val="center"/>
        <w:rPr>
          <w:rFonts w:ascii="宋体" w:hAnsi="宋体"/>
          <w:szCs w:val="21"/>
        </w:rPr>
      </w:pPr>
    </w:p>
    <w:p w:rsidR="00687DA2" w:rsidRDefault="00687DA2" w:rsidP="005E425C">
      <w:pPr>
        <w:widowControl/>
        <w:spacing w:line="560" w:lineRule="exact"/>
        <w:rPr>
          <w:rFonts w:ascii="宋体" w:hAnsi="宋体"/>
          <w:szCs w:val="21"/>
        </w:rPr>
      </w:pPr>
    </w:p>
    <w:p w:rsidR="00687DA2" w:rsidRDefault="00687DA2" w:rsidP="005E425C">
      <w:pPr>
        <w:widowControl/>
        <w:spacing w:line="560" w:lineRule="exact"/>
        <w:rPr>
          <w:rFonts w:ascii="宋体" w:hAnsi="宋体"/>
          <w:szCs w:val="21"/>
        </w:rPr>
      </w:pPr>
    </w:p>
    <w:p w:rsidR="00377747" w:rsidRDefault="00377747" w:rsidP="003D33F8">
      <w:pPr>
        <w:pStyle w:val="a5"/>
        <w:widowControl/>
        <w:spacing w:line="400" w:lineRule="exact"/>
        <w:ind w:firstLineChars="0" w:firstLine="0"/>
        <w:rPr>
          <w:rFonts w:eastAsia="仿宋_GB2312" w:hint="eastAsia"/>
          <w:snapToGrid w:val="0"/>
          <w:kern w:val="0"/>
          <w:sz w:val="24"/>
        </w:rPr>
      </w:pPr>
    </w:p>
    <w:p w:rsidR="003D33F8" w:rsidRDefault="003D33F8" w:rsidP="003D33F8">
      <w:pPr>
        <w:pStyle w:val="a5"/>
        <w:widowControl/>
        <w:spacing w:line="400" w:lineRule="exact"/>
        <w:ind w:firstLineChars="0" w:firstLine="0"/>
        <w:rPr>
          <w:rFonts w:eastAsia="仿宋_GB2312"/>
          <w:snapToGrid w:val="0"/>
          <w:kern w:val="0"/>
          <w:sz w:val="24"/>
        </w:rPr>
      </w:pPr>
      <w:bookmarkStart w:id="0" w:name="_GoBack"/>
      <w:bookmarkEnd w:id="0"/>
      <w:r>
        <w:rPr>
          <w:rFonts w:eastAsia="仿宋_GB2312" w:hint="eastAsia"/>
          <w:snapToGrid w:val="0"/>
          <w:kern w:val="0"/>
          <w:sz w:val="24"/>
        </w:rPr>
        <w:lastRenderedPageBreak/>
        <w:t>三、</w:t>
      </w:r>
      <w:r w:rsidRPr="00B531A4">
        <w:rPr>
          <w:rFonts w:eastAsia="仿宋_GB2312" w:hint="eastAsia"/>
          <w:snapToGrid w:val="0"/>
          <w:kern w:val="0"/>
          <w:sz w:val="24"/>
        </w:rPr>
        <w:t>教学</w:t>
      </w:r>
      <w:r>
        <w:rPr>
          <w:rFonts w:eastAsia="仿宋_GB2312" w:hint="eastAsia"/>
          <w:snapToGrid w:val="0"/>
          <w:kern w:val="0"/>
          <w:sz w:val="24"/>
        </w:rPr>
        <w:t>总结和反思</w:t>
      </w:r>
    </w:p>
    <w:p w:rsidR="00B574FF" w:rsidRPr="0028054F" w:rsidRDefault="003D33F8" w:rsidP="003D33F8">
      <w:pPr>
        <w:spacing w:line="440" w:lineRule="exact"/>
        <w:ind w:firstLineChars="200" w:firstLine="480"/>
        <w:jc w:val="left"/>
        <w:rPr>
          <w:b/>
          <w:sz w:val="28"/>
          <w:szCs w:val="28"/>
          <w:vertAlign w:val="superscript"/>
        </w:rPr>
      </w:pPr>
      <w:r>
        <w:rPr>
          <w:rFonts w:eastAsia="仿宋_GB2312" w:hint="eastAsia"/>
          <w:snapToGrid w:val="0"/>
          <w:kern w:val="0"/>
          <w:sz w:val="24"/>
        </w:rPr>
        <w:t>本次课程内容是《财务</w:t>
      </w:r>
      <w:r w:rsidRPr="00840506">
        <w:rPr>
          <w:rFonts w:eastAsia="仿宋_GB2312" w:hint="eastAsia"/>
          <w:snapToGrid w:val="0"/>
          <w:kern w:val="0"/>
          <w:sz w:val="24"/>
        </w:rPr>
        <w:t>会计</w:t>
      </w:r>
      <w:r>
        <w:rPr>
          <w:rFonts w:ascii="微软雅黑" w:eastAsia="微软雅黑" w:hAnsi="微软雅黑" w:hint="eastAsia"/>
          <w:snapToGrid w:val="0"/>
          <w:kern w:val="0"/>
          <w:sz w:val="24"/>
        </w:rPr>
        <w:t>Ⅰ</w:t>
      </w:r>
      <w:r w:rsidRPr="00840506">
        <w:rPr>
          <w:rFonts w:eastAsia="仿宋_GB2312" w:hint="eastAsia"/>
          <w:snapToGrid w:val="0"/>
          <w:kern w:val="0"/>
          <w:sz w:val="24"/>
        </w:rPr>
        <w:t>》中</w:t>
      </w:r>
      <w:r>
        <w:rPr>
          <w:rFonts w:eastAsia="仿宋_GB2312" w:hint="eastAsia"/>
          <w:snapToGrid w:val="0"/>
          <w:kern w:val="0"/>
          <w:sz w:val="24"/>
        </w:rPr>
        <w:t>固定资产章节的重点，作为会计专业的必修课，对学生通过采用案例教学法、情景教学法、启发法和讲授式教学法激发他们的学习兴趣，运用现代化多媒体的信息技术手段，引用生活中常见的案例，加深学生对课程内容的理解。特别针对会计核算工作过程中，固定资产后续支出原则的理解应用，强调其包括的固定资产更新改造和修理区别的重要性，结合案例讲解，深化学生对固定资产更新改造和修理资本化和费用化知识点的掌握，尤其要让学生在产生浓厚的学习兴趣的情况下，自主学习，扎实《财务</w:t>
      </w:r>
      <w:r w:rsidRPr="00840506">
        <w:rPr>
          <w:rFonts w:eastAsia="仿宋_GB2312" w:hint="eastAsia"/>
          <w:snapToGrid w:val="0"/>
          <w:kern w:val="0"/>
          <w:sz w:val="24"/>
        </w:rPr>
        <w:t>会计》</w:t>
      </w:r>
      <w:r>
        <w:rPr>
          <w:rFonts w:eastAsia="仿宋_GB2312" w:hint="eastAsia"/>
          <w:snapToGrid w:val="0"/>
          <w:kern w:val="0"/>
          <w:sz w:val="24"/>
        </w:rPr>
        <w:t>课程理论知识的学习基础。</w:t>
      </w:r>
      <w:r w:rsidR="00B574FF">
        <w:rPr>
          <w:rFonts w:hint="eastAsia"/>
          <w:b/>
          <w:sz w:val="28"/>
          <w:szCs w:val="28"/>
          <w:u w:val="single"/>
        </w:rPr>
        <w:t xml:space="preserve">            </w:t>
      </w:r>
    </w:p>
    <w:p w:rsidR="00B574FF" w:rsidRDefault="00B574FF" w:rsidP="00B574FF">
      <w:pPr>
        <w:jc w:val="center"/>
        <w:rPr>
          <w:b/>
          <w:sz w:val="28"/>
          <w:szCs w:val="28"/>
          <w:u w:val="single"/>
        </w:rPr>
      </w:pP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7F7" w:rsidRDefault="008817F7" w:rsidP="007365A2">
      <w:r>
        <w:separator/>
      </w:r>
    </w:p>
  </w:endnote>
  <w:endnote w:type="continuationSeparator" w:id="0">
    <w:p w:rsidR="008817F7" w:rsidRDefault="008817F7" w:rsidP="0073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7F7" w:rsidRDefault="008817F7" w:rsidP="007365A2">
      <w:r>
        <w:separator/>
      </w:r>
    </w:p>
  </w:footnote>
  <w:footnote w:type="continuationSeparator" w:id="0">
    <w:p w:rsidR="008817F7" w:rsidRDefault="008817F7" w:rsidP="00736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B8"/>
    <w:multiLevelType w:val="hybridMultilevel"/>
    <w:tmpl w:val="5C0817E6"/>
    <w:lvl w:ilvl="0" w:tplc="262A7358">
      <w:start w:val="1"/>
      <w:numFmt w:val="japaneseCounting"/>
      <w:lvlText w:val="（%1）"/>
      <w:lvlJc w:val="left"/>
      <w:pPr>
        <w:ind w:left="1004"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12933E52"/>
    <w:multiLevelType w:val="hybridMultilevel"/>
    <w:tmpl w:val="41ACEC70"/>
    <w:lvl w:ilvl="0" w:tplc="0596BB1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35439D"/>
    <w:multiLevelType w:val="hybridMultilevel"/>
    <w:tmpl w:val="08228298"/>
    <w:lvl w:ilvl="0" w:tplc="1C3C7BA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1DB772C"/>
    <w:multiLevelType w:val="hybridMultilevel"/>
    <w:tmpl w:val="9C58861C"/>
    <w:lvl w:ilvl="0" w:tplc="C3040C34">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91C5AB9"/>
    <w:multiLevelType w:val="hybridMultilevel"/>
    <w:tmpl w:val="4F26DB7A"/>
    <w:lvl w:ilvl="0" w:tplc="1B529FAE">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E617FAF"/>
    <w:multiLevelType w:val="hybridMultilevel"/>
    <w:tmpl w:val="DA1A9D70"/>
    <w:lvl w:ilvl="0" w:tplc="7D328B76">
      <w:start w:val="1"/>
      <w:numFmt w:val="decimal"/>
      <w:lvlText w:val="%1、"/>
      <w:lvlJc w:val="left"/>
      <w:pPr>
        <w:ind w:left="746" w:hanging="360"/>
      </w:pPr>
      <w:rPr>
        <w:rFonts w:hint="default"/>
      </w:rPr>
    </w:lvl>
    <w:lvl w:ilvl="1" w:tplc="04090019" w:tentative="1">
      <w:start w:val="1"/>
      <w:numFmt w:val="lowerLetter"/>
      <w:lvlText w:val="%2)"/>
      <w:lvlJc w:val="left"/>
      <w:pPr>
        <w:ind w:left="1226" w:hanging="420"/>
      </w:pPr>
    </w:lvl>
    <w:lvl w:ilvl="2" w:tplc="0409001B" w:tentative="1">
      <w:start w:val="1"/>
      <w:numFmt w:val="lowerRoman"/>
      <w:lvlText w:val="%3."/>
      <w:lvlJc w:val="right"/>
      <w:pPr>
        <w:ind w:left="1646" w:hanging="420"/>
      </w:pPr>
    </w:lvl>
    <w:lvl w:ilvl="3" w:tplc="0409000F" w:tentative="1">
      <w:start w:val="1"/>
      <w:numFmt w:val="decimal"/>
      <w:lvlText w:val="%4."/>
      <w:lvlJc w:val="left"/>
      <w:pPr>
        <w:ind w:left="2066" w:hanging="420"/>
      </w:pPr>
    </w:lvl>
    <w:lvl w:ilvl="4" w:tplc="04090019" w:tentative="1">
      <w:start w:val="1"/>
      <w:numFmt w:val="lowerLetter"/>
      <w:lvlText w:val="%5)"/>
      <w:lvlJc w:val="left"/>
      <w:pPr>
        <w:ind w:left="2486" w:hanging="420"/>
      </w:pPr>
    </w:lvl>
    <w:lvl w:ilvl="5" w:tplc="0409001B" w:tentative="1">
      <w:start w:val="1"/>
      <w:numFmt w:val="lowerRoman"/>
      <w:lvlText w:val="%6."/>
      <w:lvlJc w:val="right"/>
      <w:pPr>
        <w:ind w:left="2906" w:hanging="420"/>
      </w:pPr>
    </w:lvl>
    <w:lvl w:ilvl="6" w:tplc="0409000F" w:tentative="1">
      <w:start w:val="1"/>
      <w:numFmt w:val="decimal"/>
      <w:lvlText w:val="%7."/>
      <w:lvlJc w:val="left"/>
      <w:pPr>
        <w:ind w:left="3326" w:hanging="420"/>
      </w:pPr>
    </w:lvl>
    <w:lvl w:ilvl="7" w:tplc="04090019" w:tentative="1">
      <w:start w:val="1"/>
      <w:numFmt w:val="lowerLetter"/>
      <w:lvlText w:val="%8)"/>
      <w:lvlJc w:val="left"/>
      <w:pPr>
        <w:ind w:left="3746" w:hanging="420"/>
      </w:pPr>
    </w:lvl>
    <w:lvl w:ilvl="8" w:tplc="0409001B" w:tentative="1">
      <w:start w:val="1"/>
      <w:numFmt w:val="lowerRoman"/>
      <w:lvlText w:val="%9."/>
      <w:lvlJc w:val="right"/>
      <w:pPr>
        <w:ind w:left="4166" w:hanging="420"/>
      </w:pPr>
    </w:lvl>
  </w:abstractNum>
  <w:abstractNum w:abstractNumId="6">
    <w:nsid w:val="32A409EC"/>
    <w:multiLevelType w:val="hybridMultilevel"/>
    <w:tmpl w:val="E43C6528"/>
    <w:lvl w:ilvl="0" w:tplc="5A0E356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AFE70E7"/>
    <w:multiLevelType w:val="hybridMultilevel"/>
    <w:tmpl w:val="935483C2"/>
    <w:lvl w:ilvl="0" w:tplc="0ADAD1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48F94C9A"/>
    <w:multiLevelType w:val="hybridMultilevel"/>
    <w:tmpl w:val="796A789C"/>
    <w:lvl w:ilvl="0" w:tplc="06AA0DBA">
      <w:start w:val="1"/>
      <w:numFmt w:val="none"/>
      <w:lvlText w:val="一、"/>
      <w:lvlJc w:val="left"/>
      <w:pPr>
        <w:ind w:left="906" w:hanging="4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nsid w:val="4BF82B0A"/>
    <w:multiLevelType w:val="hybridMultilevel"/>
    <w:tmpl w:val="E3F026C2"/>
    <w:lvl w:ilvl="0" w:tplc="5F8E3842">
      <w:start w:val="1"/>
      <w:numFmt w:val="decimal"/>
      <w:lvlText w:val="%1、"/>
      <w:lvlJc w:val="left"/>
      <w:pPr>
        <w:ind w:left="780" w:hanging="360"/>
      </w:pPr>
      <w:rPr>
        <w:rFonts w:ascii="Calibri" w:eastAsia="仿宋_GB2312" w:hAnsi="Calibri"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59805538"/>
    <w:multiLevelType w:val="hybridMultilevel"/>
    <w:tmpl w:val="BD8669BE"/>
    <w:lvl w:ilvl="0" w:tplc="2E200DF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702C27DB"/>
    <w:multiLevelType w:val="hybridMultilevel"/>
    <w:tmpl w:val="21EA99C2"/>
    <w:lvl w:ilvl="0" w:tplc="5C2A1146">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78C0F90"/>
    <w:multiLevelType w:val="hybridMultilevel"/>
    <w:tmpl w:val="5C0817E6"/>
    <w:lvl w:ilvl="0" w:tplc="262A7358">
      <w:start w:val="1"/>
      <w:numFmt w:val="japaneseCounting"/>
      <w:lvlText w:val="（%1）"/>
      <w:lvlJc w:val="left"/>
      <w:pPr>
        <w:ind w:left="1004"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12"/>
  </w:num>
  <w:num w:numId="2">
    <w:abstractNumId w:val="8"/>
  </w:num>
  <w:num w:numId="3">
    <w:abstractNumId w:val="1"/>
  </w:num>
  <w:num w:numId="4">
    <w:abstractNumId w:val="5"/>
  </w:num>
  <w:num w:numId="5">
    <w:abstractNumId w:val="10"/>
  </w:num>
  <w:num w:numId="6">
    <w:abstractNumId w:val="11"/>
  </w:num>
  <w:num w:numId="7">
    <w:abstractNumId w:val="3"/>
  </w:num>
  <w:num w:numId="8">
    <w:abstractNumId w:val="4"/>
  </w:num>
  <w:num w:numId="9">
    <w:abstractNumId w:val="6"/>
  </w:num>
  <w:num w:numId="10">
    <w:abstractNumId w:val="2"/>
  </w:num>
  <w:num w:numId="11">
    <w:abstractNumId w:val="9"/>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574FF"/>
    <w:rsid w:val="00000427"/>
    <w:rsid w:val="00002D2A"/>
    <w:rsid w:val="00011363"/>
    <w:rsid w:val="0001209A"/>
    <w:rsid w:val="00016DFA"/>
    <w:rsid w:val="000316CD"/>
    <w:rsid w:val="00033479"/>
    <w:rsid w:val="0003418D"/>
    <w:rsid w:val="00041628"/>
    <w:rsid w:val="00042856"/>
    <w:rsid w:val="00051FE4"/>
    <w:rsid w:val="00054FA7"/>
    <w:rsid w:val="00065474"/>
    <w:rsid w:val="00066CB8"/>
    <w:rsid w:val="000713F8"/>
    <w:rsid w:val="0007205E"/>
    <w:rsid w:val="00075B51"/>
    <w:rsid w:val="0007687F"/>
    <w:rsid w:val="00077BEA"/>
    <w:rsid w:val="000874CC"/>
    <w:rsid w:val="00095858"/>
    <w:rsid w:val="00096A39"/>
    <w:rsid w:val="000A0E0D"/>
    <w:rsid w:val="000A1FBC"/>
    <w:rsid w:val="000A3B3D"/>
    <w:rsid w:val="000A44C4"/>
    <w:rsid w:val="000A4674"/>
    <w:rsid w:val="000A5B41"/>
    <w:rsid w:val="000B108A"/>
    <w:rsid w:val="000B700D"/>
    <w:rsid w:val="000C0085"/>
    <w:rsid w:val="000C481A"/>
    <w:rsid w:val="000C54A3"/>
    <w:rsid w:val="000C637C"/>
    <w:rsid w:val="000D1547"/>
    <w:rsid w:val="000D3D69"/>
    <w:rsid w:val="000D43B5"/>
    <w:rsid w:val="000D6FD5"/>
    <w:rsid w:val="000E15DA"/>
    <w:rsid w:val="000E1EBA"/>
    <w:rsid w:val="000E2160"/>
    <w:rsid w:val="000E5E2D"/>
    <w:rsid w:val="000F2395"/>
    <w:rsid w:val="00100017"/>
    <w:rsid w:val="00101A65"/>
    <w:rsid w:val="00106F50"/>
    <w:rsid w:val="00107841"/>
    <w:rsid w:val="00111134"/>
    <w:rsid w:val="00116543"/>
    <w:rsid w:val="001175C7"/>
    <w:rsid w:val="00131838"/>
    <w:rsid w:val="00132113"/>
    <w:rsid w:val="00137EAF"/>
    <w:rsid w:val="00143422"/>
    <w:rsid w:val="00145542"/>
    <w:rsid w:val="00150944"/>
    <w:rsid w:val="001542A1"/>
    <w:rsid w:val="001624E7"/>
    <w:rsid w:val="00163B9A"/>
    <w:rsid w:val="00170587"/>
    <w:rsid w:val="001720FB"/>
    <w:rsid w:val="00173F21"/>
    <w:rsid w:val="00174CDC"/>
    <w:rsid w:val="00182A77"/>
    <w:rsid w:val="00184CE9"/>
    <w:rsid w:val="001925FA"/>
    <w:rsid w:val="00195E76"/>
    <w:rsid w:val="001A0139"/>
    <w:rsid w:val="001A7FE1"/>
    <w:rsid w:val="001B1C91"/>
    <w:rsid w:val="001B2082"/>
    <w:rsid w:val="001B23A6"/>
    <w:rsid w:val="001B2AA6"/>
    <w:rsid w:val="001C0E85"/>
    <w:rsid w:val="001C278A"/>
    <w:rsid w:val="001C4E63"/>
    <w:rsid w:val="001D324C"/>
    <w:rsid w:val="001D5F55"/>
    <w:rsid w:val="001D79AA"/>
    <w:rsid w:val="001D7B60"/>
    <w:rsid w:val="001E1636"/>
    <w:rsid w:val="001E37AF"/>
    <w:rsid w:val="001F5224"/>
    <w:rsid w:val="00204CEB"/>
    <w:rsid w:val="00205FF9"/>
    <w:rsid w:val="00206B1C"/>
    <w:rsid w:val="002077AD"/>
    <w:rsid w:val="00207B94"/>
    <w:rsid w:val="002108F9"/>
    <w:rsid w:val="00212D89"/>
    <w:rsid w:val="00212EF1"/>
    <w:rsid w:val="00213071"/>
    <w:rsid w:val="00213862"/>
    <w:rsid w:val="0022453C"/>
    <w:rsid w:val="002257F9"/>
    <w:rsid w:val="00226D3A"/>
    <w:rsid w:val="00232B6C"/>
    <w:rsid w:val="00240D64"/>
    <w:rsid w:val="00241FAE"/>
    <w:rsid w:val="00245334"/>
    <w:rsid w:val="00245D32"/>
    <w:rsid w:val="00246A9F"/>
    <w:rsid w:val="00247EAF"/>
    <w:rsid w:val="002504D2"/>
    <w:rsid w:val="00250C2A"/>
    <w:rsid w:val="00252BA3"/>
    <w:rsid w:val="00261302"/>
    <w:rsid w:val="00262776"/>
    <w:rsid w:val="00276424"/>
    <w:rsid w:val="00276579"/>
    <w:rsid w:val="00285458"/>
    <w:rsid w:val="00285AC7"/>
    <w:rsid w:val="00285E87"/>
    <w:rsid w:val="0029357B"/>
    <w:rsid w:val="00293B97"/>
    <w:rsid w:val="002A083C"/>
    <w:rsid w:val="002A0B61"/>
    <w:rsid w:val="002A26CA"/>
    <w:rsid w:val="002A2844"/>
    <w:rsid w:val="002B0ABB"/>
    <w:rsid w:val="002C7261"/>
    <w:rsid w:val="002D066D"/>
    <w:rsid w:val="002D34F1"/>
    <w:rsid w:val="002D47BB"/>
    <w:rsid w:val="002D5F73"/>
    <w:rsid w:val="002D61FD"/>
    <w:rsid w:val="002E2A76"/>
    <w:rsid w:val="002F73F7"/>
    <w:rsid w:val="003042A1"/>
    <w:rsid w:val="003044B2"/>
    <w:rsid w:val="00310D83"/>
    <w:rsid w:val="0032022E"/>
    <w:rsid w:val="00321CB7"/>
    <w:rsid w:val="00323B43"/>
    <w:rsid w:val="00325389"/>
    <w:rsid w:val="00330D1D"/>
    <w:rsid w:val="00331A79"/>
    <w:rsid w:val="00332E1E"/>
    <w:rsid w:val="00340A30"/>
    <w:rsid w:val="003426F1"/>
    <w:rsid w:val="003463B2"/>
    <w:rsid w:val="0035149A"/>
    <w:rsid w:val="00351CFE"/>
    <w:rsid w:val="0035284D"/>
    <w:rsid w:val="003570BA"/>
    <w:rsid w:val="00366541"/>
    <w:rsid w:val="00367212"/>
    <w:rsid w:val="00371111"/>
    <w:rsid w:val="00372E02"/>
    <w:rsid w:val="00373ACC"/>
    <w:rsid w:val="00374651"/>
    <w:rsid w:val="003752D9"/>
    <w:rsid w:val="0037549D"/>
    <w:rsid w:val="00377747"/>
    <w:rsid w:val="003805F0"/>
    <w:rsid w:val="003A004E"/>
    <w:rsid w:val="003A1D6A"/>
    <w:rsid w:val="003A4ED6"/>
    <w:rsid w:val="003A691F"/>
    <w:rsid w:val="003A7AA2"/>
    <w:rsid w:val="003B1217"/>
    <w:rsid w:val="003B44DA"/>
    <w:rsid w:val="003B4B96"/>
    <w:rsid w:val="003C00C5"/>
    <w:rsid w:val="003C31FC"/>
    <w:rsid w:val="003C320E"/>
    <w:rsid w:val="003C6F54"/>
    <w:rsid w:val="003C7151"/>
    <w:rsid w:val="003D33F8"/>
    <w:rsid w:val="003D37D8"/>
    <w:rsid w:val="003E154F"/>
    <w:rsid w:val="003E70D6"/>
    <w:rsid w:val="00400E20"/>
    <w:rsid w:val="00401DAB"/>
    <w:rsid w:val="0040573F"/>
    <w:rsid w:val="00407B41"/>
    <w:rsid w:val="0041606E"/>
    <w:rsid w:val="004209A4"/>
    <w:rsid w:val="00421F96"/>
    <w:rsid w:val="004252BE"/>
    <w:rsid w:val="004254EF"/>
    <w:rsid w:val="004278B5"/>
    <w:rsid w:val="00430728"/>
    <w:rsid w:val="00430956"/>
    <w:rsid w:val="00431AB7"/>
    <w:rsid w:val="0043317D"/>
    <w:rsid w:val="004344D6"/>
    <w:rsid w:val="00434789"/>
    <w:rsid w:val="00435558"/>
    <w:rsid w:val="004358AB"/>
    <w:rsid w:val="00437970"/>
    <w:rsid w:val="004427AF"/>
    <w:rsid w:val="00444A51"/>
    <w:rsid w:val="00461D13"/>
    <w:rsid w:val="00464561"/>
    <w:rsid w:val="004647CA"/>
    <w:rsid w:val="00466B38"/>
    <w:rsid w:val="004748D7"/>
    <w:rsid w:val="00474AC0"/>
    <w:rsid w:val="00475F16"/>
    <w:rsid w:val="00481A97"/>
    <w:rsid w:val="00482661"/>
    <w:rsid w:val="00483485"/>
    <w:rsid w:val="00486E8C"/>
    <w:rsid w:val="00491464"/>
    <w:rsid w:val="00492CA5"/>
    <w:rsid w:val="00494C7D"/>
    <w:rsid w:val="0049516C"/>
    <w:rsid w:val="004966E6"/>
    <w:rsid w:val="004974A3"/>
    <w:rsid w:val="004A38DA"/>
    <w:rsid w:val="004A43EB"/>
    <w:rsid w:val="004B2467"/>
    <w:rsid w:val="004B57A3"/>
    <w:rsid w:val="004B5B0F"/>
    <w:rsid w:val="004B5F45"/>
    <w:rsid w:val="004C25EF"/>
    <w:rsid w:val="004C6A76"/>
    <w:rsid w:val="004D0B8A"/>
    <w:rsid w:val="004D2BF6"/>
    <w:rsid w:val="004D3F4A"/>
    <w:rsid w:val="004D79FF"/>
    <w:rsid w:val="004E24C6"/>
    <w:rsid w:val="004E4821"/>
    <w:rsid w:val="005031B2"/>
    <w:rsid w:val="0050662A"/>
    <w:rsid w:val="00510A2A"/>
    <w:rsid w:val="00515BEC"/>
    <w:rsid w:val="00520A35"/>
    <w:rsid w:val="00520F83"/>
    <w:rsid w:val="00521054"/>
    <w:rsid w:val="00523A6C"/>
    <w:rsid w:val="005275CE"/>
    <w:rsid w:val="00531460"/>
    <w:rsid w:val="005321A8"/>
    <w:rsid w:val="00536756"/>
    <w:rsid w:val="00546E00"/>
    <w:rsid w:val="00552C4D"/>
    <w:rsid w:val="00556E05"/>
    <w:rsid w:val="00564600"/>
    <w:rsid w:val="00570D3B"/>
    <w:rsid w:val="00570E30"/>
    <w:rsid w:val="00571B78"/>
    <w:rsid w:val="00581EE3"/>
    <w:rsid w:val="00583645"/>
    <w:rsid w:val="0058539B"/>
    <w:rsid w:val="0059041E"/>
    <w:rsid w:val="00591CE3"/>
    <w:rsid w:val="00597562"/>
    <w:rsid w:val="005A1A57"/>
    <w:rsid w:val="005A21F7"/>
    <w:rsid w:val="005A6328"/>
    <w:rsid w:val="005A63E4"/>
    <w:rsid w:val="005A6C3C"/>
    <w:rsid w:val="005A7060"/>
    <w:rsid w:val="005B7215"/>
    <w:rsid w:val="005C547C"/>
    <w:rsid w:val="005C6976"/>
    <w:rsid w:val="005C6B89"/>
    <w:rsid w:val="005D122B"/>
    <w:rsid w:val="005D56A9"/>
    <w:rsid w:val="005D5F37"/>
    <w:rsid w:val="005D75A6"/>
    <w:rsid w:val="005E14D4"/>
    <w:rsid w:val="005E152A"/>
    <w:rsid w:val="005E1D83"/>
    <w:rsid w:val="005E3CDF"/>
    <w:rsid w:val="005E425C"/>
    <w:rsid w:val="005F0251"/>
    <w:rsid w:val="005F0FA0"/>
    <w:rsid w:val="005F3ABC"/>
    <w:rsid w:val="00600041"/>
    <w:rsid w:val="00600DC1"/>
    <w:rsid w:val="00603E7A"/>
    <w:rsid w:val="00606EE4"/>
    <w:rsid w:val="00607F7A"/>
    <w:rsid w:val="00611640"/>
    <w:rsid w:val="00611D35"/>
    <w:rsid w:val="00614E0A"/>
    <w:rsid w:val="00627D98"/>
    <w:rsid w:val="0063190E"/>
    <w:rsid w:val="006378B1"/>
    <w:rsid w:val="0065192B"/>
    <w:rsid w:val="00653E01"/>
    <w:rsid w:val="00656F10"/>
    <w:rsid w:val="006646E9"/>
    <w:rsid w:val="00666D7F"/>
    <w:rsid w:val="00672635"/>
    <w:rsid w:val="00674628"/>
    <w:rsid w:val="00676AFB"/>
    <w:rsid w:val="006817D7"/>
    <w:rsid w:val="00682457"/>
    <w:rsid w:val="00685AF3"/>
    <w:rsid w:val="00687DA2"/>
    <w:rsid w:val="00690CDF"/>
    <w:rsid w:val="006A060E"/>
    <w:rsid w:val="006A165A"/>
    <w:rsid w:val="006A1BA9"/>
    <w:rsid w:val="006A3704"/>
    <w:rsid w:val="006B7125"/>
    <w:rsid w:val="006C0D7A"/>
    <w:rsid w:val="006C138C"/>
    <w:rsid w:val="006C37A3"/>
    <w:rsid w:val="006C3813"/>
    <w:rsid w:val="006D01BE"/>
    <w:rsid w:val="006D11F9"/>
    <w:rsid w:val="006D1725"/>
    <w:rsid w:val="006E5A05"/>
    <w:rsid w:val="006E6816"/>
    <w:rsid w:val="006F2E21"/>
    <w:rsid w:val="006F4D66"/>
    <w:rsid w:val="006F6C7B"/>
    <w:rsid w:val="00711936"/>
    <w:rsid w:val="0071223B"/>
    <w:rsid w:val="00714DC2"/>
    <w:rsid w:val="00723EE4"/>
    <w:rsid w:val="00726595"/>
    <w:rsid w:val="007278F4"/>
    <w:rsid w:val="007320F6"/>
    <w:rsid w:val="007350E0"/>
    <w:rsid w:val="007365A2"/>
    <w:rsid w:val="0073702C"/>
    <w:rsid w:val="007370FE"/>
    <w:rsid w:val="00740BED"/>
    <w:rsid w:val="00740C1F"/>
    <w:rsid w:val="00751B3D"/>
    <w:rsid w:val="007541D3"/>
    <w:rsid w:val="00757849"/>
    <w:rsid w:val="0076067D"/>
    <w:rsid w:val="007606A1"/>
    <w:rsid w:val="00766E0E"/>
    <w:rsid w:val="0077549F"/>
    <w:rsid w:val="00780C18"/>
    <w:rsid w:val="00780D57"/>
    <w:rsid w:val="0078715D"/>
    <w:rsid w:val="00787343"/>
    <w:rsid w:val="00790CDB"/>
    <w:rsid w:val="00795E55"/>
    <w:rsid w:val="007A0C1F"/>
    <w:rsid w:val="007A2B14"/>
    <w:rsid w:val="007A5F7F"/>
    <w:rsid w:val="007A776C"/>
    <w:rsid w:val="007B0585"/>
    <w:rsid w:val="007B2504"/>
    <w:rsid w:val="007B6733"/>
    <w:rsid w:val="007C06EF"/>
    <w:rsid w:val="007C07BD"/>
    <w:rsid w:val="007C2CE5"/>
    <w:rsid w:val="007D68D9"/>
    <w:rsid w:val="007E0FCB"/>
    <w:rsid w:val="007E4F05"/>
    <w:rsid w:val="007E5033"/>
    <w:rsid w:val="007E6B99"/>
    <w:rsid w:val="007F627A"/>
    <w:rsid w:val="0080261E"/>
    <w:rsid w:val="00807D07"/>
    <w:rsid w:val="008121D6"/>
    <w:rsid w:val="00817FE6"/>
    <w:rsid w:val="00822D80"/>
    <w:rsid w:val="0082391B"/>
    <w:rsid w:val="008265C9"/>
    <w:rsid w:val="00827D81"/>
    <w:rsid w:val="008316D9"/>
    <w:rsid w:val="00831D1E"/>
    <w:rsid w:val="00845B17"/>
    <w:rsid w:val="008529CC"/>
    <w:rsid w:val="008548E2"/>
    <w:rsid w:val="008756BC"/>
    <w:rsid w:val="00880BC3"/>
    <w:rsid w:val="008817F7"/>
    <w:rsid w:val="00890980"/>
    <w:rsid w:val="00895873"/>
    <w:rsid w:val="0089609B"/>
    <w:rsid w:val="008B2E82"/>
    <w:rsid w:val="008B32FC"/>
    <w:rsid w:val="008B56E5"/>
    <w:rsid w:val="008B7726"/>
    <w:rsid w:val="008C16BC"/>
    <w:rsid w:val="008C2E6A"/>
    <w:rsid w:val="008C4BB9"/>
    <w:rsid w:val="008D192D"/>
    <w:rsid w:val="008D1F96"/>
    <w:rsid w:val="008E525E"/>
    <w:rsid w:val="008E59A3"/>
    <w:rsid w:val="008F4727"/>
    <w:rsid w:val="008F5556"/>
    <w:rsid w:val="008F6436"/>
    <w:rsid w:val="008F6E21"/>
    <w:rsid w:val="008F6FA7"/>
    <w:rsid w:val="00902480"/>
    <w:rsid w:val="00904F8D"/>
    <w:rsid w:val="00910CDB"/>
    <w:rsid w:val="00920354"/>
    <w:rsid w:val="00934649"/>
    <w:rsid w:val="00935EF3"/>
    <w:rsid w:val="009427F8"/>
    <w:rsid w:val="00946D1F"/>
    <w:rsid w:val="00947DB0"/>
    <w:rsid w:val="00953D4E"/>
    <w:rsid w:val="00954E1D"/>
    <w:rsid w:val="00962A87"/>
    <w:rsid w:val="00963820"/>
    <w:rsid w:val="009640FC"/>
    <w:rsid w:val="00973672"/>
    <w:rsid w:val="0097778B"/>
    <w:rsid w:val="00980146"/>
    <w:rsid w:val="00980CE8"/>
    <w:rsid w:val="00990C5F"/>
    <w:rsid w:val="00993A7C"/>
    <w:rsid w:val="00995553"/>
    <w:rsid w:val="00995CF5"/>
    <w:rsid w:val="00996097"/>
    <w:rsid w:val="009A29E6"/>
    <w:rsid w:val="009A66C3"/>
    <w:rsid w:val="009A7DAD"/>
    <w:rsid w:val="009B30C0"/>
    <w:rsid w:val="009B4318"/>
    <w:rsid w:val="009B49DD"/>
    <w:rsid w:val="009C4F35"/>
    <w:rsid w:val="009C5EF8"/>
    <w:rsid w:val="009C5F84"/>
    <w:rsid w:val="009C764D"/>
    <w:rsid w:val="009C7BC3"/>
    <w:rsid w:val="009D304C"/>
    <w:rsid w:val="009D50DA"/>
    <w:rsid w:val="009E2649"/>
    <w:rsid w:val="009E34A8"/>
    <w:rsid w:val="009E72A1"/>
    <w:rsid w:val="009E74B5"/>
    <w:rsid w:val="009F3F62"/>
    <w:rsid w:val="009F4C0E"/>
    <w:rsid w:val="009F7B88"/>
    <w:rsid w:val="009F7E00"/>
    <w:rsid w:val="00A00C26"/>
    <w:rsid w:val="00A0102C"/>
    <w:rsid w:val="00A036A2"/>
    <w:rsid w:val="00A04876"/>
    <w:rsid w:val="00A05D53"/>
    <w:rsid w:val="00A14237"/>
    <w:rsid w:val="00A14513"/>
    <w:rsid w:val="00A200FE"/>
    <w:rsid w:val="00A2019F"/>
    <w:rsid w:val="00A23F2D"/>
    <w:rsid w:val="00A24133"/>
    <w:rsid w:val="00A25E5E"/>
    <w:rsid w:val="00A26724"/>
    <w:rsid w:val="00A31EED"/>
    <w:rsid w:val="00A35D53"/>
    <w:rsid w:val="00A362ED"/>
    <w:rsid w:val="00A37781"/>
    <w:rsid w:val="00A44818"/>
    <w:rsid w:val="00A51BC2"/>
    <w:rsid w:val="00A55020"/>
    <w:rsid w:val="00A5711B"/>
    <w:rsid w:val="00A64656"/>
    <w:rsid w:val="00A66B3A"/>
    <w:rsid w:val="00A67FEF"/>
    <w:rsid w:val="00A728D1"/>
    <w:rsid w:val="00A7666A"/>
    <w:rsid w:val="00A8191E"/>
    <w:rsid w:val="00A8473D"/>
    <w:rsid w:val="00A84840"/>
    <w:rsid w:val="00A903ED"/>
    <w:rsid w:val="00A91803"/>
    <w:rsid w:val="00A931D7"/>
    <w:rsid w:val="00A93968"/>
    <w:rsid w:val="00A94F16"/>
    <w:rsid w:val="00A95615"/>
    <w:rsid w:val="00A97FD5"/>
    <w:rsid w:val="00AA0181"/>
    <w:rsid w:val="00AA70DF"/>
    <w:rsid w:val="00AB18E5"/>
    <w:rsid w:val="00AB1999"/>
    <w:rsid w:val="00AB1AD1"/>
    <w:rsid w:val="00AB2536"/>
    <w:rsid w:val="00AB2CE8"/>
    <w:rsid w:val="00AB2EAC"/>
    <w:rsid w:val="00AB6969"/>
    <w:rsid w:val="00AC212A"/>
    <w:rsid w:val="00AC3D4D"/>
    <w:rsid w:val="00AC49D4"/>
    <w:rsid w:val="00AC5203"/>
    <w:rsid w:val="00AC762D"/>
    <w:rsid w:val="00AD0510"/>
    <w:rsid w:val="00AD0593"/>
    <w:rsid w:val="00AD3B6A"/>
    <w:rsid w:val="00AD411D"/>
    <w:rsid w:val="00AD4DA7"/>
    <w:rsid w:val="00AE2B2A"/>
    <w:rsid w:val="00AF20A1"/>
    <w:rsid w:val="00AF48CD"/>
    <w:rsid w:val="00B00567"/>
    <w:rsid w:val="00B016AD"/>
    <w:rsid w:val="00B0334F"/>
    <w:rsid w:val="00B05FD6"/>
    <w:rsid w:val="00B112AA"/>
    <w:rsid w:val="00B14643"/>
    <w:rsid w:val="00B1484D"/>
    <w:rsid w:val="00B164E2"/>
    <w:rsid w:val="00B176D3"/>
    <w:rsid w:val="00B218C8"/>
    <w:rsid w:val="00B21EB0"/>
    <w:rsid w:val="00B22F84"/>
    <w:rsid w:val="00B2322B"/>
    <w:rsid w:val="00B24B86"/>
    <w:rsid w:val="00B2621D"/>
    <w:rsid w:val="00B31E00"/>
    <w:rsid w:val="00B321FC"/>
    <w:rsid w:val="00B37411"/>
    <w:rsid w:val="00B424C6"/>
    <w:rsid w:val="00B52164"/>
    <w:rsid w:val="00B56D8A"/>
    <w:rsid w:val="00B574FF"/>
    <w:rsid w:val="00B6086D"/>
    <w:rsid w:val="00B62A39"/>
    <w:rsid w:val="00B6461C"/>
    <w:rsid w:val="00B64ED1"/>
    <w:rsid w:val="00B66FA0"/>
    <w:rsid w:val="00B702DE"/>
    <w:rsid w:val="00B713F2"/>
    <w:rsid w:val="00B714E3"/>
    <w:rsid w:val="00B71CF8"/>
    <w:rsid w:val="00B73A37"/>
    <w:rsid w:val="00B7607D"/>
    <w:rsid w:val="00B818C3"/>
    <w:rsid w:val="00B87886"/>
    <w:rsid w:val="00B908AD"/>
    <w:rsid w:val="00B9521C"/>
    <w:rsid w:val="00BA288F"/>
    <w:rsid w:val="00BA42AB"/>
    <w:rsid w:val="00BA4899"/>
    <w:rsid w:val="00BA6479"/>
    <w:rsid w:val="00BB182C"/>
    <w:rsid w:val="00BB3E91"/>
    <w:rsid w:val="00BC325E"/>
    <w:rsid w:val="00BC52E9"/>
    <w:rsid w:val="00BC7025"/>
    <w:rsid w:val="00BC7B93"/>
    <w:rsid w:val="00BD1149"/>
    <w:rsid w:val="00BD75FE"/>
    <w:rsid w:val="00BE19BA"/>
    <w:rsid w:val="00BE226A"/>
    <w:rsid w:val="00BE47E0"/>
    <w:rsid w:val="00BF02CA"/>
    <w:rsid w:val="00BF09F5"/>
    <w:rsid w:val="00BF3B4F"/>
    <w:rsid w:val="00C042D7"/>
    <w:rsid w:val="00C10EB3"/>
    <w:rsid w:val="00C13848"/>
    <w:rsid w:val="00C16E77"/>
    <w:rsid w:val="00C203C0"/>
    <w:rsid w:val="00C2248E"/>
    <w:rsid w:val="00C22F36"/>
    <w:rsid w:val="00C2556E"/>
    <w:rsid w:val="00C2639D"/>
    <w:rsid w:val="00C27E9D"/>
    <w:rsid w:val="00C32A44"/>
    <w:rsid w:val="00C331E4"/>
    <w:rsid w:val="00C40152"/>
    <w:rsid w:val="00C43907"/>
    <w:rsid w:val="00C456F6"/>
    <w:rsid w:val="00C527E5"/>
    <w:rsid w:val="00C762D4"/>
    <w:rsid w:val="00C903BB"/>
    <w:rsid w:val="00C90690"/>
    <w:rsid w:val="00C9075B"/>
    <w:rsid w:val="00C932D0"/>
    <w:rsid w:val="00CA0998"/>
    <w:rsid w:val="00CA3A5E"/>
    <w:rsid w:val="00CA7811"/>
    <w:rsid w:val="00CA7E88"/>
    <w:rsid w:val="00CB32D1"/>
    <w:rsid w:val="00CB41F0"/>
    <w:rsid w:val="00CB4EF4"/>
    <w:rsid w:val="00CB7BE0"/>
    <w:rsid w:val="00CC1F50"/>
    <w:rsid w:val="00CC31C9"/>
    <w:rsid w:val="00CC4020"/>
    <w:rsid w:val="00CC58AC"/>
    <w:rsid w:val="00CD4038"/>
    <w:rsid w:val="00CD416E"/>
    <w:rsid w:val="00CE11F5"/>
    <w:rsid w:val="00CE130E"/>
    <w:rsid w:val="00CE568E"/>
    <w:rsid w:val="00CE5AE3"/>
    <w:rsid w:val="00CE5C51"/>
    <w:rsid w:val="00CE7240"/>
    <w:rsid w:val="00CF219D"/>
    <w:rsid w:val="00CF224E"/>
    <w:rsid w:val="00CF34B8"/>
    <w:rsid w:val="00CF5CA7"/>
    <w:rsid w:val="00CF718F"/>
    <w:rsid w:val="00D03A82"/>
    <w:rsid w:val="00D05526"/>
    <w:rsid w:val="00D342E9"/>
    <w:rsid w:val="00D347EE"/>
    <w:rsid w:val="00D40B93"/>
    <w:rsid w:val="00D42738"/>
    <w:rsid w:val="00D543AA"/>
    <w:rsid w:val="00D61CB9"/>
    <w:rsid w:val="00D61CD8"/>
    <w:rsid w:val="00D63E02"/>
    <w:rsid w:val="00D64406"/>
    <w:rsid w:val="00D663AB"/>
    <w:rsid w:val="00D71329"/>
    <w:rsid w:val="00D77A0D"/>
    <w:rsid w:val="00D812C0"/>
    <w:rsid w:val="00D847A8"/>
    <w:rsid w:val="00D8606C"/>
    <w:rsid w:val="00D91AC5"/>
    <w:rsid w:val="00D93F11"/>
    <w:rsid w:val="00DA4488"/>
    <w:rsid w:val="00DA53E6"/>
    <w:rsid w:val="00DB2B67"/>
    <w:rsid w:val="00DB63D6"/>
    <w:rsid w:val="00DB7865"/>
    <w:rsid w:val="00DC150B"/>
    <w:rsid w:val="00DC1671"/>
    <w:rsid w:val="00DD2C22"/>
    <w:rsid w:val="00DD6324"/>
    <w:rsid w:val="00DE59C0"/>
    <w:rsid w:val="00DF37CD"/>
    <w:rsid w:val="00DF6A0E"/>
    <w:rsid w:val="00E00868"/>
    <w:rsid w:val="00E07632"/>
    <w:rsid w:val="00E11B62"/>
    <w:rsid w:val="00E13689"/>
    <w:rsid w:val="00E13DFE"/>
    <w:rsid w:val="00E278F0"/>
    <w:rsid w:val="00E30436"/>
    <w:rsid w:val="00E30715"/>
    <w:rsid w:val="00E31851"/>
    <w:rsid w:val="00E32EBA"/>
    <w:rsid w:val="00E35442"/>
    <w:rsid w:val="00E35B21"/>
    <w:rsid w:val="00E35B7E"/>
    <w:rsid w:val="00E37FFD"/>
    <w:rsid w:val="00E45B39"/>
    <w:rsid w:val="00E45EEB"/>
    <w:rsid w:val="00E4757F"/>
    <w:rsid w:val="00E47C7D"/>
    <w:rsid w:val="00E526AE"/>
    <w:rsid w:val="00E54F46"/>
    <w:rsid w:val="00E55B12"/>
    <w:rsid w:val="00E55F69"/>
    <w:rsid w:val="00E55FF1"/>
    <w:rsid w:val="00E60AB6"/>
    <w:rsid w:val="00E623A6"/>
    <w:rsid w:val="00E65266"/>
    <w:rsid w:val="00E664B4"/>
    <w:rsid w:val="00E73560"/>
    <w:rsid w:val="00E743C0"/>
    <w:rsid w:val="00E764A1"/>
    <w:rsid w:val="00E84C28"/>
    <w:rsid w:val="00E86C2F"/>
    <w:rsid w:val="00E87469"/>
    <w:rsid w:val="00E87587"/>
    <w:rsid w:val="00E9042E"/>
    <w:rsid w:val="00E9127C"/>
    <w:rsid w:val="00E91BF9"/>
    <w:rsid w:val="00E92CDC"/>
    <w:rsid w:val="00E97BEF"/>
    <w:rsid w:val="00EA0306"/>
    <w:rsid w:val="00EB0F37"/>
    <w:rsid w:val="00EB3CEF"/>
    <w:rsid w:val="00EB4640"/>
    <w:rsid w:val="00EB6813"/>
    <w:rsid w:val="00EB7A95"/>
    <w:rsid w:val="00EB7D4F"/>
    <w:rsid w:val="00EB7DCC"/>
    <w:rsid w:val="00EC2E80"/>
    <w:rsid w:val="00EC340C"/>
    <w:rsid w:val="00EC46BB"/>
    <w:rsid w:val="00ED1B53"/>
    <w:rsid w:val="00EE42DF"/>
    <w:rsid w:val="00EF4465"/>
    <w:rsid w:val="00EF6135"/>
    <w:rsid w:val="00EF67C4"/>
    <w:rsid w:val="00F00D56"/>
    <w:rsid w:val="00F0440E"/>
    <w:rsid w:val="00F12F7C"/>
    <w:rsid w:val="00F13A82"/>
    <w:rsid w:val="00F17810"/>
    <w:rsid w:val="00F23C77"/>
    <w:rsid w:val="00F24543"/>
    <w:rsid w:val="00F332AA"/>
    <w:rsid w:val="00F33717"/>
    <w:rsid w:val="00F36CB1"/>
    <w:rsid w:val="00F37C42"/>
    <w:rsid w:val="00F37DF4"/>
    <w:rsid w:val="00F41702"/>
    <w:rsid w:val="00F42FA0"/>
    <w:rsid w:val="00F4448F"/>
    <w:rsid w:val="00F453B5"/>
    <w:rsid w:val="00F45C14"/>
    <w:rsid w:val="00F5218F"/>
    <w:rsid w:val="00F61648"/>
    <w:rsid w:val="00F61696"/>
    <w:rsid w:val="00F631A6"/>
    <w:rsid w:val="00F633BE"/>
    <w:rsid w:val="00F63B4F"/>
    <w:rsid w:val="00F650E0"/>
    <w:rsid w:val="00F72E37"/>
    <w:rsid w:val="00F81926"/>
    <w:rsid w:val="00F82E57"/>
    <w:rsid w:val="00F9278D"/>
    <w:rsid w:val="00FA0240"/>
    <w:rsid w:val="00FA0533"/>
    <w:rsid w:val="00FA7140"/>
    <w:rsid w:val="00FB1843"/>
    <w:rsid w:val="00FB4684"/>
    <w:rsid w:val="00FB4B7B"/>
    <w:rsid w:val="00FB5431"/>
    <w:rsid w:val="00FC2E58"/>
    <w:rsid w:val="00FC39FB"/>
    <w:rsid w:val="00FD01B4"/>
    <w:rsid w:val="00FD1449"/>
    <w:rsid w:val="00FE2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4FF"/>
    <w:pPr>
      <w:widowControl w:val="0"/>
      <w:jc w:val="both"/>
    </w:pPr>
    <w:rPr>
      <w:kern w:val="2"/>
      <w:sz w:val="21"/>
      <w:szCs w:val="22"/>
    </w:rPr>
  </w:style>
  <w:style w:type="paragraph" w:styleId="1">
    <w:name w:val="heading 1"/>
    <w:basedOn w:val="a"/>
    <w:next w:val="a"/>
    <w:link w:val="1Char"/>
    <w:uiPriority w:val="9"/>
    <w:qFormat/>
    <w:rsid w:val="0032022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2022E"/>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32022E"/>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32022E"/>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2022E"/>
    <w:rPr>
      <w:b/>
      <w:bCs/>
      <w:kern w:val="44"/>
      <w:sz w:val="44"/>
      <w:szCs w:val="44"/>
    </w:rPr>
  </w:style>
  <w:style w:type="character" w:customStyle="1" w:styleId="2Char">
    <w:name w:val="标题 2 Char"/>
    <w:basedOn w:val="a0"/>
    <w:link w:val="2"/>
    <w:uiPriority w:val="9"/>
    <w:rsid w:val="0032022E"/>
    <w:rPr>
      <w:rFonts w:ascii="Cambria" w:eastAsia="宋体" w:hAnsi="Cambria" w:cs="Times New Roman"/>
      <w:b/>
      <w:bCs/>
      <w:sz w:val="32"/>
      <w:szCs w:val="32"/>
    </w:rPr>
  </w:style>
  <w:style w:type="character" w:customStyle="1" w:styleId="3Char">
    <w:name w:val="标题 3 Char"/>
    <w:basedOn w:val="a0"/>
    <w:link w:val="3"/>
    <w:uiPriority w:val="9"/>
    <w:rsid w:val="0032022E"/>
    <w:rPr>
      <w:b/>
      <w:bCs/>
      <w:sz w:val="32"/>
      <w:szCs w:val="32"/>
    </w:rPr>
  </w:style>
  <w:style w:type="character" w:customStyle="1" w:styleId="4Char">
    <w:name w:val="标题 4 Char"/>
    <w:basedOn w:val="a0"/>
    <w:link w:val="4"/>
    <w:uiPriority w:val="9"/>
    <w:rsid w:val="0032022E"/>
    <w:rPr>
      <w:rFonts w:ascii="Cambria" w:eastAsia="宋体" w:hAnsi="Cambria" w:cs="Times New Roman"/>
      <w:b/>
      <w:bCs/>
      <w:sz w:val="28"/>
      <w:szCs w:val="28"/>
    </w:rPr>
  </w:style>
  <w:style w:type="paragraph" w:styleId="a3">
    <w:name w:val="Title"/>
    <w:basedOn w:val="a"/>
    <w:next w:val="a"/>
    <w:link w:val="Char"/>
    <w:uiPriority w:val="10"/>
    <w:qFormat/>
    <w:rsid w:val="0032022E"/>
    <w:pPr>
      <w:spacing w:before="240" w:after="60"/>
      <w:jc w:val="center"/>
      <w:outlineLvl w:val="0"/>
    </w:pPr>
    <w:rPr>
      <w:rFonts w:ascii="Cambria" w:hAnsi="Cambria"/>
      <w:b/>
      <w:bCs/>
      <w:sz w:val="32"/>
      <w:szCs w:val="32"/>
    </w:rPr>
  </w:style>
  <w:style w:type="character" w:customStyle="1" w:styleId="Char">
    <w:name w:val="标题 Char"/>
    <w:basedOn w:val="a0"/>
    <w:link w:val="a3"/>
    <w:uiPriority w:val="10"/>
    <w:rsid w:val="0032022E"/>
    <w:rPr>
      <w:rFonts w:ascii="Cambria" w:eastAsia="宋体" w:hAnsi="Cambria" w:cs="Times New Roman"/>
      <w:b/>
      <w:bCs/>
      <w:sz w:val="32"/>
      <w:szCs w:val="32"/>
    </w:rPr>
  </w:style>
  <w:style w:type="character" w:styleId="a4">
    <w:name w:val="Strong"/>
    <w:basedOn w:val="a0"/>
    <w:uiPriority w:val="22"/>
    <w:qFormat/>
    <w:rsid w:val="0032022E"/>
    <w:rPr>
      <w:b/>
      <w:bCs/>
    </w:rPr>
  </w:style>
  <w:style w:type="paragraph" w:styleId="a5">
    <w:name w:val="List Paragraph"/>
    <w:basedOn w:val="a"/>
    <w:uiPriority w:val="34"/>
    <w:qFormat/>
    <w:rsid w:val="0032022E"/>
    <w:pPr>
      <w:ind w:firstLineChars="200" w:firstLine="420"/>
    </w:pPr>
  </w:style>
  <w:style w:type="paragraph" w:styleId="a6">
    <w:name w:val="Balloon Text"/>
    <w:basedOn w:val="a"/>
    <w:link w:val="Char0"/>
    <w:uiPriority w:val="99"/>
    <w:semiHidden/>
    <w:unhideWhenUsed/>
    <w:rsid w:val="00B574FF"/>
    <w:rPr>
      <w:sz w:val="18"/>
      <w:szCs w:val="18"/>
    </w:rPr>
  </w:style>
  <w:style w:type="character" w:customStyle="1" w:styleId="Char0">
    <w:name w:val="批注框文本 Char"/>
    <w:basedOn w:val="a0"/>
    <w:link w:val="a6"/>
    <w:uiPriority w:val="99"/>
    <w:semiHidden/>
    <w:rsid w:val="00B574FF"/>
    <w:rPr>
      <w:rFonts w:ascii="Calibri" w:eastAsia="宋体" w:hAnsi="Calibri" w:cs="Times New Roman"/>
      <w:sz w:val="18"/>
      <w:szCs w:val="18"/>
    </w:rPr>
  </w:style>
  <w:style w:type="paragraph" w:styleId="a7">
    <w:name w:val="header"/>
    <w:basedOn w:val="a"/>
    <w:link w:val="Char1"/>
    <w:uiPriority w:val="99"/>
    <w:semiHidden/>
    <w:unhideWhenUsed/>
    <w:rsid w:val="007365A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7365A2"/>
    <w:rPr>
      <w:kern w:val="2"/>
      <w:sz w:val="18"/>
      <w:szCs w:val="18"/>
    </w:rPr>
  </w:style>
  <w:style w:type="paragraph" w:styleId="a8">
    <w:name w:val="footer"/>
    <w:basedOn w:val="a"/>
    <w:link w:val="Char2"/>
    <w:uiPriority w:val="99"/>
    <w:semiHidden/>
    <w:unhideWhenUsed/>
    <w:rsid w:val="007365A2"/>
    <w:pPr>
      <w:tabs>
        <w:tab w:val="center" w:pos="4153"/>
        <w:tab w:val="right" w:pos="8306"/>
      </w:tabs>
      <w:snapToGrid w:val="0"/>
      <w:jc w:val="left"/>
    </w:pPr>
    <w:rPr>
      <w:sz w:val="18"/>
      <w:szCs w:val="18"/>
    </w:rPr>
  </w:style>
  <w:style w:type="character" w:customStyle="1" w:styleId="Char2">
    <w:name w:val="页脚 Char"/>
    <w:basedOn w:val="a0"/>
    <w:link w:val="a8"/>
    <w:uiPriority w:val="99"/>
    <w:semiHidden/>
    <w:rsid w:val="007365A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xb21cn</cp:lastModifiedBy>
  <cp:revision>9</cp:revision>
  <dcterms:created xsi:type="dcterms:W3CDTF">2017-09-18T16:18:00Z</dcterms:created>
  <dcterms:modified xsi:type="dcterms:W3CDTF">2019-09-17T14:14:00Z</dcterms:modified>
</cp:coreProperties>
</file>